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8A9C7">
      <w:pPr>
        <w:shd w:val="clear"/>
        <w:spacing w:before="156" w:beforeLines="50" w:line="360" w:lineRule="auto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264960A1">
      <w:pPr>
        <w:shd w:val="clear"/>
        <w:spacing w:before="156" w:beforeLines="50" w:line="360" w:lineRule="auto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52E78FC4">
      <w:pPr>
        <w:shd w:val="clear"/>
        <w:spacing w:before="156" w:beforeLines="50" w:line="360" w:lineRule="auto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74FF0103">
      <w:pPr>
        <w:shd w:val="clear"/>
        <w:spacing w:before="156" w:beforeLines="50" w:line="360" w:lineRule="auto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03D5A262">
      <w:pPr>
        <w:shd w:val="clear"/>
        <w:spacing w:before="156" w:beforeLines="50" w:line="360" w:lineRule="auto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374188FE">
      <w:pPr>
        <w:shd w:val="clear"/>
        <w:spacing w:before="156" w:beforeLines="50" w:line="360" w:lineRule="auto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廊燕院发〔20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 w14:paraId="6C9B334E">
      <w:pPr>
        <w:shd w:val="clear"/>
        <w:spacing w:before="156" w:beforeLines="50" w:line="360" w:lineRule="auto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5B985D68">
      <w:pPr>
        <w:widowControl/>
        <w:shd w:val="clear" w:color="auto"/>
        <w:spacing w:line="315" w:lineRule="atLeas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  <w:t>廊坊燕京职业技术学院</w:t>
      </w:r>
    </w:p>
    <w:p w14:paraId="1A66AA14">
      <w:pPr>
        <w:widowControl/>
        <w:shd w:val="clear" w:color="auto"/>
        <w:spacing w:line="315" w:lineRule="atLeas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  <w:t>学术暨教学指导委员会管理办法</w:t>
      </w:r>
    </w:p>
    <w:p w14:paraId="61FB79B7">
      <w:pPr>
        <w:widowControl/>
        <w:shd w:val="clear" w:color="auto"/>
        <w:spacing w:line="315" w:lineRule="atLeast"/>
        <w:jc w:val="center"/>
        <w:rPr>
          <w:rFonts w:ascii="微软雅黑" w:hAnsi="微软雅黑" w:eastAsia="微软雅黑" w:cs="宋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  <w:t>（试行）</w:t>
      </w:r>
    </w:p>
    <w:p w14:paraId="0A3E923D">
      <w:pPr>
        <w:widowControl/>
        <w:shd w:val="clear" w:color="auto"/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第一章  总则</w:t>
      </w:r>
    </w:p>
    <w:p w14:paraId="13C9412F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第一条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： 根据《中华人民共和国高等教育法》、《高等学校学术委员会规程》有关规定，结合学院实际，制定本办法。</w:t>
      </w:r>
    </w:p>
    <w:p w14:paraId="6C6605D3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第二条：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学术暨教学指导专业建设委员会是学院最高学术机构，依照国家有关法律、规章产生和行使职权，统筹负责学术事务的决策、审议、评定和咨询等事项。</w:t>
      </w:r>
    </w:p>
    <w:p w14:paraId="45EF1028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第三条：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学术暨教学指导专业建设委员会坚持公平、公正、公开的原则，倡导学术自由，发扬学术民主，鼓励学术创新，维护学术道德。学术委员会遵守严格的程序规范，实行民主表决制度，决议公示制度。</w:t>
      </w:r>
    </w:p>
    <w:p w14:paraId="416B0516">
      <w:pPr>
        <w:widowControl/>
        <w:shd w:val="clear" w:color="auto"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 第二章  组成</w:t>
      </w:r>
    </w:p>
    <w:p w14:paraId="6F7ACFF0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第四条：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学术暨教学指导专业建设委员会（以下简称委员会）委员由教学岗位及教学和科研管理岗位的教师代表组成，其中，担任学院及科研管理部门领导职务的委员3-</w:t>
      </w:r>
      <w:r>
        <w:rPr>
          <w:rFonts w:hint="eastAsia" w:ascii="仿宋" w:hAnsi="仿宋" w:eastAsia="仿宋" w:cs="仿宋"/>
          <w:kern w:val="0"/>
          <w:sz w:val="32"/>
          <w:szCs w:val="32"/>
        </w:rPr>
        <w:t>4名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 xml:space="preserve">，每个系部有1-2名委员，担任系部领导职务的委员不超过1名。 </w:t>
      </w:r>
    </w:p>
    <w:p w14:paraId="60F784D2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第五条：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委员包括直选委员和推选委员。直选委员为院长和主管教学科研的副院长以及教务处负责人，不超过委员总人数的1/4，不占各系部推选委员名额。推选委员由各系部按照委员候选人的条件、结构要求推荐，要求填写委员会委员遴选推荐表，经教务处审核后报院长办公会审定。</w:t>
      </w:r>
    </w:p>
    <w:p w14:paraId="258711B4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第六条：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委员会委员应当具备以下条件：</w:t>
      </w:r>
    </w:p>
    <w:p w14:paraId="5D630CD4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（一）遵守宪法法律和学院章程，学风端正，治学严谨，公道正派；</w:t>
      </w:r>
    </w:p>
    <w:p w14:paraId="54DC7553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（二）学术造诣高，在本学科或专业领域具有良好的学术声誉和公认的学术成果；</w:t>
      </w:r>
    </w:p>
    <w:p w14:paraId="61BD35EC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（三）关心学院建设和发展，有参与学术议事的意愿和能力，能够正常履行职责；</w:t>
      </w:r>
    </w:p>
    <w:p w14:paraId="2807AAA5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（四）原则上具有副高及以上职称，硕士及以上学历，年龄一般在55周岁以内。</w:t>
      </w:r>
    </w:p>
    <w:p w14:paraId="2BC4D3E4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第七条：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委员会委员在任期内有下列情形，可免除或同意其辞去委员职务： </w:t>
      </w:r>
    </w:p>
    <w:p w14:paraId="1F319D12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（一）主动申请辞去委员职务的；</w:t>
      </w:r>
    </w:p>
    <w:p w14:paraId="1F562C91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（二）因身体、年龄、调离及职务变动等原因不能履职的；</w:t>
      </w:r>
    </w:p>
    <w:p w14:paraId="7DB05189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（三）怠于履行职责或违反委员义务的；</w:t>
      </w:r>
    </w:p>
    <w:p w14:paraId="7D994075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（四）有违法、违反教师职业道德或学术不端行为的；</w:t>
      </w:r>
    </w:p>
    <w:p w14:paraId="1D8F0DBE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（五）因其他原因不能或不宜担任委员职务的。</w:t>
      </w:r>
    </w:p>
    <w:p w14:paraId="5EA8998C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第八条：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对推选委员，免除或同意其辞去委员职务，须由院委员会全体会议讨论决定，并由其所在系部另行推荐。对直选委员，免除或同意其辞去委员职务，须由院长办公会决定并另行补选。</w:t>
      </w:r>
    </w:p>
    <w:p w14:paraId="3482ED3D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第九条：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委员会推选委员实行任期制，每届任期4年，可连选连任，但连任最长不超过2届。委员会每次换届，连任委员人数不高于委员总数的2/3。</w:t>
      </w:r>
    </w:p>
    <w:p w14:paraId="2F982A8F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委员会可设主任委员1名，副主任委员1名，秘书长1名，主任、副主任及秘书长人选由全体会议选举产生。</w:t>
      </w:r>
    </w:p>
    <w:p w14:paraId="0DC7E52B">
      <w:pPr>
        <w:widowControl/>
        <w:shd w:val="clear" w:color="auto"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第三章  职责</w:t>
      </w:r>
    </w:p>
    <w:p w14:paraId="04278879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第十一条：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委员会委员享有以下权利：</w:t>
      </w:r>
    </w:p>
    <w:p w14:paraId="5F402D9D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（一）知悉与学术事务相关的学院各项管理制度、信息等；</w:t>
      </w:r>
    </w:p>
    <w:p w14:paraId="382973CD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（二）就学术事务向学院相关职能部门提出咨询或质询；</w:t>
      </w:r>
    </w:p>
    <w:p w14:paraId="7D97D4BC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（三）在学术委员会会议中自由、独立地发表意见，讨论、审议和表决各项决议；</w:t>
      </w:r>
    </w:p>
    <w:p w14:paraId="5FE3F832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（四）对学院学术事务及学术委员会工作提出建议，实施监督；</w:t>
      </w:r>
    </w:p>
    <w:p w14:paraId="1A8718C2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（五）学院章程规定的其他权利。</w:t>
      </w:r>
    </w:p>
    <w:p w14:paraId="7A1D1799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第十二条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：委员会委员须履行以下义务：</w:t>
      </w:r>
    </w:p>
    <w:p w14:paraId="2A66D94F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（一）遵守国家宪法、法律和法规，遵守学术规范、恪守学术道德；</w:t>
      </w:r>
    </w:p>
    <w:p w14:paraId="298F69C6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（二）遵守学术委员会章程，坚守学术专业判断，公正履行职责；</w:t>
      </w:r>
    </w:p>
    <w:p w14:paraId="62DE2B06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（三）勤勉尽职，积极参加学术委员会会议及有关活动；</w:t>
      </w:r>
    </w:p>
    <w:p w14:paraId="4CF27348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（四）学院章程或学术委员会章程规定的其他义务。</w:t>
      </w:r>
    </w:p>
    <w:p w14:paraId="2D08EC15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第十三条：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委员会的工作职责：</w:t>
      </w:r>
    </w:p>
    <w:p w14:paraId="3E2D6E89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（一）审议学科专业设置及其发展建设规划，指导师资队伍建设、实训基地建设、课程建设、教材建设、人才培养方案等工作；</w:t>
      </w:r>
    </w:p>
    <w:p w14:paraId="340E0457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（二）审议教学、科研计划方案；</w:t>
      </w:r>
    </w:p>
    <w:p w14:paraId="6D71374E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（三）审议学术发展规划和重要的学术研究计划；</w:t>
      </w:r>
    </w:p>
    <w:p w14:paraId="1BC787DE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（四）审议专业技术职务评审、岗位聘任的学术标准与办法；</w:t>
      </w:r>
    </w:p>
    <w:p w14:paraId="25452C49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（五）评议学术组织的任职人选、政府组织的学术人才选拔或学术荣誉人选；</w:t>
      </w:r>
    </w:p>
    <w:p w14:paraId="1C4E69BE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（六）评定限额推荐申报的教科研项目，成果奖励等；</w:t>
      </w:r>
    </w:p>
    <w:p w14:paraId="25814502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（七）受理有关学术不端行为举报并调查、认定，裁决学术纠纷和学术失范行为；</w:t>
      </w:r>
    </w:p>
    <w:p w14:paraId="12ECB9D8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（八）指导、组织学术活动和学术道德教育活动；</w:t>
      </w:r>
    </w:p>
    <w:p w14:paraId="320EE900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（九）对其他未列明的学院学科建设、专业建设、人才培养、学术研究、教师队伍建设等方面重要学术事项提供咨询建议。</w:t>
      </w:r>
    </w:p>
    <w:p w14:paraId="3FC91771">
      <w:pPr>
        <w:widowControl/>
        <w:shd w:val="clear" w:color="auto"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第四章  运行制度</w:t>
      </w:r>
    </w:p>
    <w:p w14:paraId="72177D8F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第十四条：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委员会实行例会制度，每年召开2次全体委员会议。根据工作需要，经主任委员或副主任委员提议，或者1/3以上委员联名提议，可临时召开会全体会议，商讨、决定相关事项。</w:t>
      </w:r>
    </w:p>
    <w:p w14:paraId="60274DB9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第十五条：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委员会全体会议应当有2/3以上委员出席方能举行，由主任委员或副主任委员委托秘书长召集、主持。会议议题应当提前确定并通知与会委员。</w:t>
      </w:r>
    </w:p>
    <w:p w14:paraId="00E75D96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第十六条：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委员会议事决策实行少数服从多数的原则，重大事项应当经与会委员2/3以上同意方可通过。</w:t>
      </w:r>
    </w:p>
    <w:p w14:paraId="721D691D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第十七条：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委员会会议实行利益回避制度，如审议或评定事项与委员本人及其配偶、直系亲属等有关，或者具有利益关联的，相关委员应当回避。</w:t>
      </w:r>
    </w:p>
    <w:p w14:paraId="03136FF4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第十八条：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委员会会议可以根据议题，设立旁听席，允许学院职能部门、教师及学生代表列席旁听。</w:t>
      </w:r>
    </w:p>
    <w:p w14:paraId="61307CC0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第十九条：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委员会做出的决定应当予以公示，并设置异议期。在异议期内如有异议，经1/3以上委员同意，可召开全体会议复议。经复议通过的决定为终局结论。</w:t>
      </w:r>
    </w:p>
    <w:p w14:paraId="5EF1BF7A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第二十条：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委员会可根据工作需要，成立若干常设或临时性的评议组、评审组或专题组，线上或线下处理专项学术事务，履行相应职责。</w:t>
      </w:r>
    </w:p>
    <w:p w14:paraId="3F9AA872">
      <w:pPr>
        <w:widowControl/>
        <w:shd w:val="clear" w:color="auto"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第五章  附则</w:t>
      </w:r>
    </w:p>
    <w:p w14:paraId="09474CED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第二十一条：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委员会秘书处设在教务处。</w:t>
      </w:r>
    </w:p>
    <w:p w14:paraId="553BC361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第二十二条：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本章程由委员会秘书处负责解释，自印发之日起施行。</w:t>
      </w:r>
    </w:p>
    <w:p w14:paraId="291E31F3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《廊坊燕京职业技术学院教学工作指导委员会章程》（廊燕院发[2011]20号）、《廊坊燕京职业技术学院学术委员会章程》（廊燕院发[2011]21号）、《学院关于调整教学指导委员会成员的通知》（廊燕院发[2018]3号）、《学院关于调整学术委员会成员的通知》（廊燕院发[2018]4号）同时废止。</w:t>
      </w:r>
    </w:p>
    <w:p w14:paraId="61385DFC">
      <w:pPr>
        <w:widowControl/>
        <w:shd w:val="clear"/>
        <w:jc w:val="left"/>
        <w:rPr>
          <w:rFonts w:ascii="微软雅黑" w:hAnsi="微软雅黑" w:eastAsia="微软雅黑" w:cs="宋体"/>
          <w:color w:val="000000"/>
          <w:kern w:val="0"/>
          <w:sz w:val="28"/>
          <w:szCs w:val="28"/>
        </w:rPr>
      </w:pPr>
      <w:bookmarkStart w:id="0" w:name="_GoBack"/>
      <w:bookmarkEnd w:id="0"/>
    </w:p>
    <w:p w14:paraId="6429BBD5">
      <w:pPr>
        <w:widowControl/>
        <w:shd w:val="clear" w:color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廊坊燕京职业技术学院学术暨教学指导委员会委员遴选推荐表</w:t>
      </w:r>
    </w:p>
    <w:p w14:paraId="0BF933B0">
      <w:pPr>
        <w:shd w:val="clear"/>
        <w:ind w:right="160" w:firstLine="645"/>
        <w:jc w:val="right"/>
        <w:rPr>
          <w:rFonts w:hint="eastAsia" w:ascii="仿宋_GB2312" w:eastAsia="仿宋_GB2312"/>
          <w:sz w:val="32"/>
          <w:szCs w:val="32"/>
          <w:lang w:eastAsia="zh-CN"/>
        </w:rPr>
      </w:pPr>
    </w:p>
    <w:p w14:paraId="20959367">
      <w:pPr>
        <w:shd w:val="clear"/>
        <w:ind w:right="160" w:firstLine="645"/>
        <w:jc w:val="right"/>
        <w:rPr>
          <w:rFonts w:hint="eastAsia" w:ascii="仿宋_GB2312" w:eastAsia="仿宋_GB2312"/>
          <w:sz w:val="32"/>
          <w:szCs w:val="32"/>
          <w:lang w:eastAsia="zh-CN"/>
        </w:rPr>
      </w:pPr>
    </w:p>
    <w:p w14:paraId="4B48D295">
      <w:pPr>
        <w:shd w:val="clear"/>
        <w:ind w:right="160" w:firstLine="645"/>
        <w:jc w:val="right"/>
        <w:rPr>
          <w:rFonts w:hint="eastAsia" w:ascii="仿宋_GB2312" w:eastAsia="仿宋_GB2312"/>
          <w:sz w:val="32"/>
          <w:szCs w:val="32"/>
          <w:lang w:eastAsia="zh-CN"/>
        </w:rPr>
      </w:pPr>
    </w:p>
    <w:p w14:paraId="6CA9FD98">
      <w:pPr>
        <w:shd w:val="clear"/>
        <w:ind w:right="160" w:firstLine="645"/>
        <w:jc w:val="righ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廊坊燕京职业技术学院</w:t>
      </w:r>
    </w:p>
    <w:p w14:paraId="211DFA11">
      <w:pPr>
        <w:shd w:val="clear"/>
        <w:wordWrap w:val="0"/>
        <w:jc w:val="right"/>
        <w:rPr>
          <w:rFonts w:hint="default" w:ascii="黑体" w:hAnsi="黑体" w:eastAsia="仿宋_GB2312" w:cs="黑体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</w:p>
    <w:p w14:paraId="77D63765">
      <w:pPr>
        <w:shd w:val="clear"/>
        <w:spacing w:line="200" w:lineRule="exac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</w:t>
      </w:r>
    </w:p>
    <w:p w14:paraId="01A72F45">
      <w:pPr>
        <w:shd w:val="clea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br w:type="page"/>
      </w:r>
    </w:p>
    <w:p w14:paraId="792A04E1">
      <w:pPr>
        <w:shd w:val="clear"/>
        <w:spacing w:line="200" w:lineRule="exac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</w:t>
      </w:r>
    </w:p>
    <w:p w14:paraId="4E550EDF">
      <w:pPr>
        <w:shd w:val="clear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附件：</w:t>
      </w:r>
    </w:p>
    <w:p w14:paraId="5F77B42B">
      <w:pPr>
        <w:shd w:val="clear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 w14:paraId="3DAFAC3A">
      <w:pPr>
        <w:widowControl/>
        <w:shd w:val="clear" w:color="auto"/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廊坊燕京职业技术学院学术暨教学指导委员会</w:t>
      </w:r>
    </w:p>
    <w:p w14:paraId="6A2D6209">
      <w:pPr>
        <w:widowControl/>
        <w:shd w:val="clear" w:color="auto"/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委员遴选推荐表</w:t>
      </w:r>
    </w:p>
    <w:tbl>
      <w:tblPr>
        <w:tblStyle w:val="5"/>
        <w:tblpPr w:leftFromText="180" w:rightFromText="180" w:vertAnchor="text" w:horzAnchor="margin" w:tblpXSpec="center" w:tblpY="331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1134"/>
        <w:gridCol w:w="992"/>
        <w:gridCol w:w="992"/>
        <w:gridCol w:w="1134"/>
        <w:gridCol w:w="1041"/>
      </w:tblGrid>
      <w:tr w14:paraId="1E962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5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87AF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37A24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67C7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年龄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6063D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376F0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学历</w:t>
            </w:r>
          </w:p>
        </w:tc>
        <w:tc>
          <w:tcPr>
            <w:tcW w:w="99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352A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99BE7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学位</w:t>
            </w:r>
          </w:p>
        </w:tc>
        <w:tc>
          <w:tcPr>
            <w:tcW w:w="10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61B88A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</w:tc>
      </w:tr>
      <w:tr w14:paraId="0D9D3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74A91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职称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E52EE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CD38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职务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B5091">
            <w:pPr>
              <w:shd w:val="clear"/>
              <w:ind w:left="-178" w:leftChars="-85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93AD9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ascii="微软雅黑" w:hAnsi="微软雅黑" w:eastAsia="微软雅黑" w:cs="华文仿宋"/>
                <w:sz w:val="24"/>
                <w:szCs w:val="24"/>
              </w:rPr>
              <w:t>联系方式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DD6A7B">
            <w:pPr>
              <w:shd w:val="clear"/>
              <w:spacing w:line="200" w:lineRule="atLeast"/>
              <w:jc w:val="center"/>
              <w:rPr>
                <w:rFonts w:ascii="微软雅黑" w:hAnsi="微软雅黑" w:eastAsia="微软雅黑" w:cs="华文仿宋"/>
              </w:rPr>
            </w:pPr>
          </w:p>
        </w:tc>
      </w:tr>
      <w:tr w14:paraId="29ACE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6D74">
            <w:pPr>
              <w:shd w:val="clear"/>
              <w:spacing w:line="200" w:lineRule="atLeast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所在系部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C11F5">
            <w:pPr>
              <w:shd w:val="clear"/>
              <w:spacing w:line="200" w:lineRule="atLeast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C6A0A">
            <w:pPr>
              <w:shd w:val="clear"/>
              <w:spacing w:line="200" w:lineRule="atLeast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ascii="微软雅黑" w:hAnsi="微软雅黑" w:eastAsia="微软雅黑" w:cs="华文仿宋"/>
                <w:sz w:val="24"/>
                <w:szCs w:val="24"/>
              </w:rPr>
              <w:t>所属学科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78781BA">
            <w:pPr>
              <w:shd w:val="clear"/>
              <w:spacing w:line="200" w:lineRule="atLeast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</w:p>
        </w:tc>
      </w:tr>
      <w:tr w14:paraId="39B82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4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473CF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近五年公开出版的论著或教材、发表的学术论文、获得知识产权情况</w:t>
            </w:r>
          </w:p>
        </w:tc>
        <w:tc>
          <w:tcPr>
            <w:tcW w:w="6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C84621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  <w:p w14:paraId="5EB21D27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  <w:p w14:paraId="69D63339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  <w:p w14:paraId="623961A4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</w:tc>
      </w:tr>
      <w:tr w14:paraId="454F7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2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A57F9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近五年承担的科研、教学项目</w:t>
            </w:r>
          </w:p>
        </w:tc>
        <w:tc>
          <w:tcPr>
            <w:tcW w:w="6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2D7135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  <w:p w14:paraId="5525D174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  <w:p w14:paraId="1186C3CD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</w:tc>
      </w:tr>
      <w:tr w14:paraId="4084D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2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01DE1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  <w:szCs w:val="24"/>
              </w:rPr>
              <w:t>近五年获得的教学、科研奖励</w:t>
            </w:r>
          </w:p>
        </w:tc>
        <w:tc>
          <w:tcPr>
            <w:tcW w:w="6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CFE2B6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  <w:p w14:paraId="635C0825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  <w:p w14:paraId="27F48122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</w:p>
        </w:tc>
      </w:tr>
      <w:tr w14:paraId="65FCF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7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10FDB">
            <w:pPr>
              <w:shd w:val="clear"/>
              <w:jc w:val="center"/>
              <w:rPr>
                <w:rFonts w:ascii="微软雅黑" w:hAnsi="微软雅黑" w:eastAsia="微软雅黑" w:cs="华文仿宋"/>
              </w:rPr>
            </w:pPr>
            <w:r>
              <w:rPr>
                <w:rFonts w:hint="eastAsia" w:ascii="微软雅黑" w:hAnsi="微软雅黑" w:eastAsia="微软雅黑" w:cs="华文仿宋"/>
                <w:sz w:val="24"/>
              </w:rPr>
              <w:t>推荐部门意见</w:t>
            </w:r>
          </w:p>
        </w:tc>
        <w:tc>
          <w:tcPr>
            <w:tcW w:w="6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D33266C">
            <w:pPr>
              <w:shd w:val="clear"/>
              <w:ind w:right="480"/>
              <w:jc w:val="center"/>
              <w:rPr>
                <w:rFonts w:ascii="微软雅黑" w:hAnsi="微软雅黑" w:eastAsia="微软雅黑" w:cs="华文仿宋"/>
                <w:sz w:val="24"/>
              </w:rPr>
            </w:pPr>
          </w:p>
          <w:p w14:paraId="26B31417">
            <w:pPr>
              <w:shd w:val="clear"/>
              <w:ind w:right="480" w:firstLine="3480" w:firstLineChars="1450"/>
              <w:jc w:val="center"/>
              <w:rPr>
                <w:rFonts w:ascii="微软雅黑" w:hAnsi="微软雅黑" w:eastAsia="微软雅黑" w:cs="华文仿宋"/>
                <w:sz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</w:rPr>
              <w:t>部门公章</w:t>
            </w:r>
          </w:p>
          <w:p w14:paraId="592ED5A9">
            <w:pPr>
              <w:shd w:val="clear"/>
              <w:ind w:right="720"/>
              <w:jc w:val="right"/>
              <w:rPr>
                <w:rFonts w:ascii="微软雅黑" w:hAnsi="微软雅黑" w:eastAsia="微软雅黑" w:cs="华文仿宋"/>
              </w:rPr>
            </w:pPr>
            <w:r>
              <w:rPr>
                <w:rFonts w:hint="eastAsia" w:ascii="微软雅黑" w:hAnsi="微软雅黑" w:eastAsia="微软雅黑" w:cs="华文仿宋"/>
                <w:sz w:val="24"/>
              </w:rPr>
              <w:t>年  月  日</w:t>
            </w:r>
          </w:p>
        </w:tc>
      </w:tr>
      <w:tr w14:paraId="10BF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7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E3146BE">
            <w:pPr>
              <w:shd w:val="clear"/>
              <w:jc w:val="center"/>
              <w:rPr>
                <w:rFonts w:ascii="微软雅黑" w:hAnsi="微软雅黑" w:eastAsia="微软雅黑" w:cs="华文仿宋"/>
                <w:sz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</w:rPr>
              <w:t>教务处意见</w:t>
            </w:r>
          </w:p>
        </w:tc>
        <w:tc>
          <w:tcPr>
            <w:tcW w:w="6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3652FE">
            <w:pPr>
              <w:shd w:val="clear"/>
              <w:ind w:right="480"/>
              <w:jc w:val="center"/>
              <w:rPr>
                <w:rFonts w:ascii="微软雅黑" w:hAnsi="微软雅黑" w:eastAsia="微软雅黑" w:cs="华文仿宋"/>
                <w:sz w:val="24"/>
              </w:rPr>
            </w:pPr>
          </w:p>
          <w:p w14:paraId="601EC38D">
            <w:pPr>
              <w:shd w:val="clear"/>
              <w:ind w:right="480" w:firstLine="3480" w:firstLineChars="1450"/>
              <w:jc w:val="center"/>
              <w:rPr>
                <w:rFonts w:ascii="微软雅黑" w:hAnsi="微软雅黑" w:eastAsia="微软雅黑" w:cs="华文仿宋"/>
                <w:sz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</w:rPr>
              <w:t>部门公章</w:t>
            </w:r>
          </w:p>
          <w:p w14:paraId="203CD7E9">
            <w:pPr>
              <w:shd w:val="clear"/>
              <w:ind w:right="480" w:firstLine="4320" w:firstLineChars="1800"/>
              <w:jc w:val="center"/>
              <w:rPr>
                <w:rFonts w:ascii="微软雅黑" w:hAnsi="微软雅黑" w:eastAsia="微软雅黑" w:cs="华文仿宋"/>
                <w:sz w:val="24"/>
              </w:rPr>
            </w:pPr>
            <w:r>
              <w:rPr>
                <w:rFonts w:hint="eastAsia" w:ascii="微软雅黑" w:hAnsi="微软雅黑" w:eastAsia="微软雅黑" w:cs="华文仿宋"/>
                <w:sz w:val="24"/>
              </w:rPr>
              <w:t>年  月  日</w:t>
            </w:r>
          </w:p>
        </w:tc>
      </w:tr>
    </w:tbl>
    <w:p w14:paraId="32DA491F">
      <w:pPr>
        <w:shd w:val="clear"/>
        <w:ind w:right="160" w:firstLine="645"/>
        <w:jc w:val="right"/>
        <w:rPr>
          <w:rFonts w:hint="eastAsia" w:ascii="仿宋_GB2312" w:eastAsia="仿宋_GB2312"/>
          <w:sz w:val="32"/>
          <w:szCs w:val="32"/>
          <w:lang w:eastAsia="zh-CN"/>
        </w:rPr>
      </w:pPr>
    </w:p>
    <w:p w14:paraId="45026107">
      <w:pPr>
        <w:shd w:val="clear"/>
        <w:ind w:right="160" w:firstLine="645"/>
        <w:jc w:val="right"/>
        <w:rPr>
          <w:rFonts w:hint="eastAsia" w:ascii="仿宋_GB2312" w:eastAsia="仿宋_GB2312"/>
          <w:sz w:val="32"/>
          <w:szCs w:val="32"/>
          <w:lang w:eastAsia="zh-CN"/>
        </w:rPr>
      </w:pPr>
    </w:p>
    <w:p w14:paraId="725868D4">
      <w:pPr>
        <w:shd w:val="clear"/>
        <w:ind w:right="160" w:firstLine="645"/>
        <w:jc w:val="right"/>
        <w:rPr>
          <w:rFonts w:hint="eastAsia" w:ascii="仿宋_GB2312" w:eastAsia="仿宋_GB2312"/>
          <w:sz w:val="32"/>
          <w:szCs w:val="32"/>
          <w:lang w:eastAsia="zh-CN"/>
        </w:rPr>
      </w:pPr>
    </w:p>
    <w:p w14:paraId="7E3F27F4">
      <w:pPr>
        <w:shd w:val="clear"/>
        <w:spacing w:line="200" w:lineRule="exact"/>
        <w:rPr>
          <w:rFonts w:hint="eastAsia" w:ascii="宋体" w:hAnsi="宋体"/>
          <w:sz w:val="32"/>
          <w:szCs w:val="32"/>
        </w:rPr>
      </w:pPr>
    </w:p>
    <w:p w14:paraId="47F465AC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426D2941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2A8378D5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0C7AE482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3B879928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6105964D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2339BF63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075E099C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19E65871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1A7BEE46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0CC7A2E6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5FBCADD0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286BBCBD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78FD1E0C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27CADF71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774A87D9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503C44BD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071BE362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687C6E18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416CDBF0">
      <w:pPr>
        <w:shd w:val="clear"/>
        <w:spacing w:line="200" w:lineRule="exact"/>
        <w:rPr>
          <w:rFonts w:hint="eastAsia" w:ascii="宋体" w:hAnsi="宋体"/>
          <w:sz w:val="240"/>
          <w:szCs w:val="240"/>
        </w:rPr>
      </w:pPr>
    </w:p>
    <w:p w14:paraId="2B3F7673">
      <w:pPr>
        <w:shd w:val="clear"/>
        <w:spacing w:line="200" w:lineRule="exact"/>
        <w:rPr>
          <w:rFonts w:hint="eastAsia" w:ascii="宋体" w:hAnsi="宋体"/>
          <w:sz w:val="32"/>
          <w:szCs w:val="32"/>
        </w:rPr>
      </w:pPr>
    </w:p>
    <w:p w14:paraId="4ED4BBC5">
      <w:pPr>
        <w:pBdr>
          <w:top w:val="single" w:color="auto" w:sz="6" w:space="1"/>
          <w:bottom w:val="single" w:color="auto" w:sz="6" w:space="1"/>
        </w:pBdr>
        <w:shd w:val="clear"/>
        <w:ind w:left="1440" w:hanging="1260" w:hangingChars="450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廊坊燕京职业技术学院党政办公室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_GB2312" w:hAnsi="宋体" w:eastAsia="仿宋_GB2312"/>
          <w:sz w:val="28"/>
          <w:szCs w:val="28"/>
        </w:rPr>
        <w:t>2021年6月29日印发</w:t>
      </w:r>
    </w:p>
    <w:sectPr>
      <w:footerReference r:id="rId3" w:type="default"/>
      <w:pgSz w:w="11906" w:h="16838"/>
      <w:pgMar w:top="1304" w:right="1531" w:bottom="130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5FE17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870AD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870AD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-507062837"/>
        <w:docPartObj>
          <w:docPartGallery w:val="autotext"/>
        </w:docPartObj>
      </w:sdtPr>
      <w:sdtContent>
        <w:sdt>
          <w:sdtPr>
            <w:id w:val="-1669238322"/>
            <w:docPartObj>
              <w:docPartGallery w:val="autotext"/>
            </w:docPartObj>
          </w:sdtPr>
          <w:sdtContent/>
        </w:sdt>
      </w:sdtContent>
    </w:sdt>
  </w:p>
  <w:p w14:paraId="6FD8874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iZDk4ZGM5ZDM5ZTc0ZTA3YjRlN2VmZjZjNWE1MGQifQ=="/>
  </w:docVars>
  <w:rsids>
    <w:rsidRoot w:val="002807FD"/>
    <w:rsid w:val="000020E8"/>
    <w:rsid w:val="000346CF"/>
    <w:rsid w:val="00042473"/>
    <w:rsid w:val="00047094"/>
    <w:rsid w:val="00071A21"/>
    <w:rsid w:val="000931C9"/>
    <w:rsid w:val="000A512B"/>
    <w:rsid w:val="000C178F"/>
    <w:rsid w:val="00171AB7"/>
    <w:rsid w:val="00182BFB"/>
    <w:rsid w:val="001C0CA6"/>
    <w:rsid w:val="001C2FCA"/>
    <w:rsid w:val="001D6B26"/>
    <w:rsid w:val="002309B1"/>
    <w:rsid w:val="002807FD"/>
    <w:rsid w:val="002C7638"/>
    <w:rsid w:val="00342604"/>
    <w:rsid w:val="00376D3C"/>
    <w:rsid w:val="003964F0"/>
    <w:rsid w:val="003F5F9E"/>
    <w:rsid w:val="003F7E9E"/>
    <w:rsid w:val="004150B9"/>
    <w:rsid w:val="00426529"/>
    <w:rsid w:val="00452365"/>
    <w:rsid w:val="004F71D6"/>
    <w:rsid w:val="00524F81"/>
    <w:rsid w:val="00533195"/>
    <w:rsid w:val="00593CB3"/>
    <w:rsid w:val="006223FF"/>
    <w:rsid w:val="0065284A"/>
    <w:rsid w:val="006E613E"/>
    <w:rsid w:val="00732968"/>
    <w:rsid w:val="00771815"/>
    <w:rsid w:val="007763DA"/>
    <w:rsid w:val="00783DFB"/>
    <w:rsid w:val="007D61EA"/>
    <w:rsid w:val="007E5D89"/>
    <w:rsid w:val="00893339"/>
    <w:rsid w:val="00897284"/>
    <w:rsid w:val="008E52EF"/>
    <w:rsid w:val="008F4378"/>
    <w:rsid w:val="0092648B"/>
    <w:rsid w:val="009C3D4E"/>
    <w:rsid w:val="009D2F76"/>
    <w:rsid w:val="009F3CD9"/>
    <w:rsid w:val="00A05F97"/>
    <w:rsid w:val="00A5678F"/>
    <w:rsid w:val="00A659C4"/>
    <w:rsid w:val="00B1403D"/>
    <w:rsid w:val="00BA2C62"/>
    <w:rsid w:val="00BA78C9"/>
    <w:rsid w:val="00C314F6"/>
    <w:rsid w:val="00C46200"/>
    <w:rsid w:val="00C7292C"/>
    <w:rsid w:val="00CC0176"/>
    <w:rsid w:val="00CC739C"/>
    <w:rsid w:val="00D50C71"/>
    <w:rsid w:val="00D57C41"/>
    <w:rsid w:val="00D61112"/>
    <w:rsid w:val="00D70463"/>
    <w:rsid w:val="00DA5D11"/>
    <w:rsid w:val="00E12DAB"/>
    <w:rsid w:val="00E50AFF"/>
    <w:rsid w:val="00E7240F"/>
    <w:rsid w:val="00EE7087"/>
    <w:rsid w:val="00EF7716"/>
    <w:rsid w:val="00F54C2D"/>
    <w:rsid w:val="00F7633B"/>
    <w:rsid w:val="00FA2A09"/>
    <w:rsid w:val="00FB6991"/>
    <w:rsid w:val="13AB4DE3"/>
    <w:rsid w:val="1F127ABB"/>
    <w:rsid w:val="454E4B04"/>
    <w:rsid w:val="514715B3"/>
    <w:rsid w:val="73C72FAF"/>
    <w:rsid w:val="7EC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F0A887-EE93-4DE3-BBC0-40DC90F458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2390</Words>
  <Characters>2445</Characters>
  <Lines>17</Lines>
  <Paragraphs>4</Paragraphs>
  <TotalTime>4</TotalTime>
  <ScaleCrop>false</ScaleCrop>
  <LinksUpToDate>false</LinksUpToDate>
  <CharactersWithSpaces>2514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2021-03-16T01:14:00Z</dcterms:created>
  <dc:creator>admin</dc:creator>
  <cp:lastModifiedBy>蒹葭</cp:lastModifiedBy>
  <cp:lastPrinted>2023-09-11T03:48:00Z</cp:lastPrinted>
  <dcterms:modified xsi:type="dcterms:W3CDTF">2024-11-18T02:48:41Z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09DCC0487E244DD0989BF34D4111E907</vt:lpwstr>
  </property>
</Properties>
</file>