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15"/>
          <w:szCs w:val="15"/>
        </w:rPr>
      </w:pPr>
    </w:p>
    <w:p>
      <w:pPr>
        <w:jc w:val="center"/>
        <w:rPr>
          <w:rFonts w:hint="eastAsia" w:ascii="仿宋" w:hAnsi="仿宋" w:eastAsia="仿宋"/>
          <w:sz w:val="32"/>
          <w:szCs w:val="32"/>
        </w:rPr>
      </w:pPr>
      <w:r>
        <w:rPr>
          <w:rFonts w:hint="eastAsia" w:ascii="仿宋" w:hAnsi="仿宋" w:eastAsia="仿宋"/>
          <w:sz w:val="32"/>
          <w:szCs w:val="32"/>
        </w:rPr>
        <w:t>廊燕院发[20</w:t>
      </w:r>
      <w:r>
        <w:rPr>
          <w:rFonts w:hint="eastAsia" w:ascii="仿宋" w:hAnsi="仿宋" w:eastAsia="仿宋"/>
          <w:sz w:val="32"/>
          <w:szCs w:val="32"/>
          <w:lang w:val="en-US" w:eastAsia="zh-CN"/>
        </w:rPr>
        <w:t>23</w:t>
      </w:r>
      <w:r>
        <w:rPr>
          <w:rFonts w:hint="eastAsia" w:ascii="仿宋" w:hAnsi="仿宋" w:eastAsia="仿宋"/>
          <w:sz w:val="32"/>
          <w:szCs w:val="32"/>
        </w:rPr>
        <w:t>]</w:t>
      </w:r>
      <w:r>
        <w:rPr>
          <w:rFonts w:hint="eastAsia" w:ascii="仿宋" w:hAnsi="仿宋" w:eastAsia="仿宋"/>
          <w:sz w:val="32"/>
          <w:szCs w:val="32"/>
          <w:lang w:val="en-US" w:eastAsia="zh-CN"/>
        </w:rPr>
        <w:t>40</w:t>
      </w:r>
      <w:r>
        <w:rPr>
          <w:rFonts w:hint="eastAsia" w:ascii="仿宋" w:hAnsi="仿宋" w:eastAsia="仿宋"/>
          <w:sz w:val="32"/>
          <w:szCs w:val="32"/>
        </w:rPr>
        <w:t>号</w:t>
      </w:r>
    </w:p>
    <w:p>
      <w:pPr>
        <w:jc w:val="center"/>
        <w:rPr>
          <w:rFonts w:hint="eastAsia" w:ascii="仿宋" w:hAnsi="仿宋" w:eastAsia="仿宋"/>
          <w:sz w:val="21"/>
          <w:szCs w:val="21"/>
        </w:rPr>
      </w:pPr>
    </w:p>
    <w:p>
      <w:pPr>
        <w:widowControl/>
        <w:spacing w:line="480" w:lineRule="atLeast"/>
        <w:jc w:val="center"/>
        <w:rPr>
          <w:rStyle w:val="12"/>
          <w:rFonts w:ascii="方正小标宋简体" w:hAnsi="方正小标宋简体" w:eastAsia="方正小标宋简体" w:cs="方正小标宋简体"/>
          <w:bCs/>
          <w:color w:val="000000"/>
          <w:kern w:val="0"/>
          <w:sz w:val="36"/>
          <w:szCs w:val="36"/>
          <w:lang w:bidi="ar"/>
        </w:rPr>
      </w:pPr>
      <w:r>
        <w:rPr>
          <w:rStyle w:val="12"/>
          <w:rFonts w:hint="eastAsia" w:ascii="方正小标宋简体" w:hAnsi="方正小标宋简体" w:eastAsia="方正小标宋简体" w:cs="方正小标宋简体"/>
          <w:bCs/>
          <w:color w:val="000000"/>
          <w:kern w:val="0"/>
          <w:sz w:val="36"/>
          <w:szCs w:val="36"/>
          <w:lang w:bidi="ar"/>
        </w:rPr>
        <w:t>廊坊燕京职业技术学院</w:t>
      </w:r>
      <w:r>
        <w:rPr>
          <w:rStyle w:val="12"/>
          <w:rFonts w:ascii="方正小标宋简体" w:hAnsi="方正小标宋简体" w:eastAsia="方正小标宋简体" w:cs="方正小标宋简体"/>
          <w:bCs/>
          <w:color w:val="000000"/>
          <w:kern w:val="0"/>
          <w:sz w:val="36"/>
          <w:szCs w:val="36"/>
          <w:lang w:bidi="ar"/>
        </w:rPr>
        <w:t>院级课题管理办法</w:t>
      </w:r>
    </w:p>
    <w:p>
      <w:pPr>
        <w:widowControl/>
        <w:spacing w:line="480" w:lineRule="atLeast"/>
        <w:jc w:val="center"/>
        <w:rPr>
          <w:rStyle w:val="12"/>
          <w:rFonts w:ascii="方正小标宋简体" w:hAnsi="方正小标宋简体" w:eastAsia="方正小标宋简体" w:cs="方正小标宋简体"/>
          <w:bCs/>
          <w:color w:val="000000"/>
          <w:kern w:val="0"/>
          <w:sz w:val="31"/>
          <w:szCs w:val="31"/>
          <w:lang w:bidi="ar"/>
        </w:rPr>
      </w:pPr>
    </w:p>
    <w:p>
      <w:pPr>
        <w:widowControl/>
        <w:spacing w:line="480" w:lineRule="atLeast"/>
        <w:jc w:val="center"/>
        <w:rPr>
          <w:rFonts w:ascii="宋体" w:hAnsi="宋体" w:eastAsia="宋体" w:cs="宋体"/>
          <w:b/>
          <w:color w:val="000000"/>
          <w:kern w:val="0"/>
          <w:sz w:val="28"/>
          <w:szCs w:val="28"/>
          <w:lang w:bidi="ar"/>
        </w:rPr>
      </w:pPr>
      <w:r>
        <w:rPr>
          <w:rFonts w:hint="eastAsia" w:ascii="宋体" w:hAnsi="宋体" w:eastAsia="宋体" w:cs="宋体"/>
          <w:b/>
          <w:color w:val="000000"/>
          <w:kern w:val="0"/>
          <w:sz w:val="28"/>
          <w:szCs w:val="28"/>
          <w:lang w:bidi="ar"/>
        </w:rPr>
        <w:t>第一章</w:t>
      </w:r>
      <w:r>
        <w:rPr>
          <w:rFonts w:hint="eastAsia" w:ascii="宋体" w:hAnsi="宋体" w:cs="宋体"/>
          <w:b/>
          <w:color w:val="000000"/>
          <w:kern w:val="0"/>
          <w:sz w:val="28"/>
          <w:szCs w:val="28"/>
          <w:lang w:val="en-US" w:eastAsia="zh-CN" w:bidi="ar"/>
        </w:rPr>
        <w:t xml:space="preserve">  </w:t>
      </w:r>
      <w:r>
        <w:rPr>
          <w:rFonts w:hint="eastAsia" w:ascii="宋体" w:hAnsi="宋体" w:eastAsia="宋体" w:cs="宋体"/>
          <w:b/>
          <w:color w:val="000000"/>
          <w:kern w:val="0"/>
          <w:sz w:val="28"/>
          <w:szCs w:val="28"/>
          <w:lang w:bidi="ar"/>
        </w:rPr>
        <w:t>总则</w:t>
      </w:r>
    </w:p>
    <w:p>
      <w:pPr>
        <w:widowControl/>
        <w:spacing w:line="480" w:lineRule="atLeast"/>
        <w:ind w:firstLine="555"/>
        <w:jc w:val="left"/>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第一条</w:t>
      </w:r>
      <w:r>
        <w:rPr>
          <w:rFonts w:hint="eastAsia" w:ascii="宋体" w:hAnsi="宋体" w:cs="宋体"/>
          <w:color w:val="000000"/>
          <w:kern w:val="0"/>
          <w:sz w:val="28"/>
          <w:szCs w:val="28"/>
          <w:lang w:val="en-US" w:eastAsia="zh-CN" w:bidi="ar"/>
        </w:rPr>
        <w:t xml:space="preserve">  </w:t>
      </w:r>
      <w:r>
        <w:rPr>
          <w:rFonts w:hint="eastAsia" w:ascii="宋体" w:hAnsi="宋体" w:eastAsia="宋体" w:cs="宋体"/>
          <w:color w:val="000000"/>
          <w:kern w:val="0"/>
          <w:sz w:val="28"/>
          <w:szCs w:val="28"/>
          <w:lang w:bidi="ar"/>
        </w:rPr>
        <w:t>为加强和规范我院院级课题的管理，调动我院教师科研工作的积极性、主动性和创造性，培养我院科研人员的科研能力和创新精神，为申报国家级、省部级课题打基础，根据上级有关规定及我院的情况，特设立廊坊燕京职业技术学院院级课题，并制定本管理办法。</w:t>
      </w:r>
    </w:p>
    <w:p>
      <w:pPr>
        <w:widowControl/>
        <w:spacing w:line="480" w:lineRule="atLeast"/>
        <w:ind w:firstLine="555"/>
        <w:jc w:val="left"/>
        <w:rPr>
          <w:rFonts w:ascii="宋体" w:hAnsi="宋体" w:eastAsia="宋体" w:cs="宋体"/>
          <w:color w:val="000000"/>
          <w:kern w:val="0"/>
          <w:sz w:val="28"/>
          <w:szCs w:val="28"/>
          <w:lang w:bidi="ar"/>
        </w:rPr>
      </w:pPr>
      <w:r>
        <w:rPr>
          <w:rStyle w:val="12"/>
          <w:rFonts w:hint="eastAsia" w:ascii="宋体" w:hAnsi="宋体" w:eastAsia="宋体" w:cs="宋体"/>
          <w:bCs/>
          <w:color w:val="000000"/>
          <w:kern w:val="0"/>
          <w:sz w:val="28"/>
          <w:szCs w:val="28"/>
          <w:lang w:bidi="ar"/>
        </w:rPr>
        <w:t>第二条</w:t>
      </w:r>
      <w:r>
        <w:rPr>
          <w:rStyle w:val="12"/>
          <w:rFonts w:hint="eastAsia" w:ascii="宋体" w:hAnsi="宋体" w:cs="宋体"/>
          <w:bCs/>
          <w:color w:val="000000"/>
          <w:kern w:val="0"/>
          <w:sz w:val="28"/>
          <w:szCs w:val="28"/>
          <w:lang w:val="en-US" w:eastAsia="zh-CN" w:bidi="ar"/>
        </w:rPr>
        <w:t xml:space="preserve">  </w:t>
      </w:r>
      <w:r>
        <w:rPr>
          <w:rFonts w:hint="eastAsia" w:ascii="宋体" w:hAnsi="宋体" w:eastAsia="宋体" w:cs="宋体"/>
          <w:color w:val="000000"/>
          <w:kern w:val="0"/>
          <w:sz w:val="28"/>
          <w:szCs w:val="28"/>
          <w:lang w:bidi="ar"/>
        </w:rPr>
        <w:t xml:space="preserve">院级课题的申报、评审和立项遵循公平竞争、择优支持的原则，课题的规划及日常组织、管理、协调等工作由教务处负责。科研内容与学院规划一致，以应用研究为主，突出解决学院发展中的实际问题，研究成果应用于学院教学和管理中。 </w:t>
      </w:r>
    </w:p>
    <w:p>
      <w:pPr>
        <w:widowControl/>
        <w:spacing w:line="480" w:lineRule="atLeast"/>
        <w:jc w:val="center"/>
        <w:rPr>
          <w:rFonts w:ascii="宋体" w:hAnsi="宋体" w:eastAsia="宋体" w:cs="宋体"/>
          <w:b/>
          <w:color w:val="000000"/>
          <w:kern w:val="0"/>
          <w:sz w:val="28"/>
          <w:szCs w:val="28"/>
          <w:lang w:bidi="ar"/>
        </w:rPr>
      </w:pPr>
      <w:r>
        <w:rPr>
          <w:rFonts w:hint="eastAsia" w:ascii="宋体" w:hAnsi="宋体" w:eastAsia="宋体" w:cs="宋体"/>
          <w:b/>
          <w:color w:val="000000"/>
          <w:kern w:val="0"/>
          <w:sz w:val="28"/>
          <w:szCs w:val="28"/>
          <w:lang w:bidi="ar"/>
        </w:rPr>
        <w:t>第二章</w:t>
      </w:r>
      <w:r>
        <w:rPr>
          <w:rFonts w:hint="eastAsia" w:ascii="宋体" w:hAnsi="宋体" w:cs="宋体"/>
          <w:b/>
          <w:color w:val="000000"/>
          <w:kern w:val="0"/>
          <w:sz w:val="28"/>
          <w:szCs w:val="28"/>
          <w:lang w:val="en-US" w:eastAsia="zh-CN" w:bidi="ar"/>
        </w:rPr>
        <w:t xml:space="preserve">  </w:t>
      </w:r>
      <w:r>
        <w:rPr>
          <w:rFonts w:hint="eastAsia" w:ascii="宋体" w:hAnsi="宋体" w:eastAsia="宋体" w:cs="宋体"/>
          <w:b/>
          <w:color w:val="000000"/>
          <w:kern w:val="0"/>
          <w:sz w:val="28"/>
          <w:szCs w:val="28"/>
          <w:lang w:bidi="ar"/>
        </w:rPr>
        <w:t>申报与立项</w:t>
      </w:r>
    </w:p>
    <w:p>
      <w:pPr>
        <w:widowControl/>
        <w:spacing w:line="480" w:lineRule="atLeast"/>
        <w:ind w:firstLine="555"/>
        <w:jc w:val="left"/>
        <w:rPr>
          <w:rFonts w:ascii="宋体" w:hAnsi="宋体" w:eastAsia="宋体" w:cs="宋体"/>
          <w:color w:val="000000"/>
          <w:kern w:val="0"/>
          <w:sz w:val="28"/>
          <w:szCs w:val="28"/>
          <w:lang w:bidi="ar"/>
        </w:rPr>
      </w:pPr>
      <w:r>
        <w:rPr>
          <w:rStyle w:val="12"/>
          <w:rFonts w:hint="eastAsia" w:ascii="宋体" w:hAnsi="宋体" w:eastAsia="宋体" w:cs="宋体"/>
          <w:bCs/>
          <w:color w:val="000000"/>
          <w:kern w:val="0"/>
          <w:sz w:val="28"/>
          <w:szCs w:val="28"/>
          <w:lang w:bidi="ar"/>
        </w:rPr>
        <w:t>第三条</w:t>
      </w:r>
      <w:r>
        <w:rPr>
          <w:rFonts w:hint="eastAsia" w:ascii="宋体" w:hAnsi="宋体" w:eastAsia="宋体" w:cs="宋体"/>
          <w:color w:val="000000"/>
          <w:kern w:val="0"/>
          <w:sz w:val="28"/>
          <w:szCs w:val="28"/>
          <w:lang w:bidi="ar"/>
        </w:rPr>
        <w:t xml:space="preserve">  课题申请人条件及要求：</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（一）课题申请人须是我院在职教职工；</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（二）申请人须真正承担和负责组织、指导课题的实施，不能从事实质性研究工作的不得申请；</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三）申请人已有两项（含两项）市级以上立项研究课题尚未结题，或已有一项院级立项研究课题尚未结题，不得申请新的院内立项研究课题。课题申请人同一年度只能申报一项院级课题，课题参与人同一年度参与院级课题不得超过2项；</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color w:val="000000"/>
          <w:kern w:val="0"/>
          <w:sz w:val="28"/>
          <w:szCs w:val="28"/>
          <w:lang w:bidi="ar"/>
        </w:rPr>
        <w:t>（四）课题组成员一般为4-7人，人员结构合理，能充分发挥各自特长。</w:t>
      </w:r>
    </w:p>
    <w:p>
      <w:pPr>
        <w:widowControl/>
        <w:spacing w:line="480" w:lineRule="atLeast"/>
        <w:ind w:firstLine="555"/>
        <w:jc w:val="left"/>
        <w:rPr>
          <w:rFonts w:ascii="宋体" w:hAnsi="宋体" w:eastAsia="宋体" w:cs="宋体"/>
          <w:color w:val="000000"/>
          <w:kern w:val="0"/>
          <w:sz w:val="28"/>
          <w:szCs w:val="28"/>
          <w:lang w:bidi="ar"/>
        </w:rPr>
      </w:pPr>
      <w:r>
        <w:rPr>
          <w:rStyle w:val="12"/>
          <w:rFonts w:hint="eastAsia" w:ascii="宋体" w:hAnsi="宋体" w:eastAsia="宋体" w:cs="宋体"/>
          <w:bCs/>
          <w:color w:val="000000"/>
          <w:kern w:val="0"/>
          <w:sz w:val="28"/>
          <w:szCs w:val="28"/>
          <w:lang w:bidi="ar"/>
        </w:rPr>
        <w:t xml:space="preserve">第四条  </w:t>
      </w:r>
      <w:r>
        <w:rPr>
          <w:rFonts w:hint="eastAsia" w:ascii="宋体" w:hAnsi="宋体" w:eastAsia="宋体" w:cs="宋体"/>
          <w:color w:val="000000"/>
          <w:kern w:val="0"/>
          <w:sz w:val="28"/>
          <w:szCs w:val="28"/>
          <w:lang w:bidi="ar"/>
        </w:rPr>
        <w:t>院级课题的申报</w:t>
      </w:r>
      <w:r>
        <w:rPr>
          <w:rFonts w:hint="eastAsia" w:ascii="宋体" w:hAnsi="宋体" w:eastAsia="宋体" w:cs="宋体"/>
          <w:color w:val="000000"/>
          <w:kern w:val="0"/>
          <w:sz w:val="28"/>
          <w:szCs w:val="28"/>
          <w:lang w:val="en-US" w:eastAsia="zh-CN" w:bidi="ar"/>
        </w:rPr>
        <w:t>原则上</w:t>
      </w:r>
      <w:r>
        <w:rPr>
          <w:rFonts w:hint="eastAsia" w:ascii="宋体" w:hAnsi="宋体" w:eastAsia="宋体" w:cs="宋体"/>
          <w:color w:val="000000"/>
          <w:kern w:val="0"/>
          <w:sz w:val="28"/>
          <w:szCs w:val="28"/>
          <w:lang w:bidi="ar"/>
        </w:rPr>
        <w:t>每年组织一次，一般6月进行。各部门应在充分考虑本部门研究优势的基础上，切实做好课题的申报组织工作。鼓励各处室、教研室集体申报，可吸纳相关企业专业人员参与课题研究。</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 xml:space="preserve">第五条  </w:t>
      </w:r>
      <w:r>
        <w:rPr>
          <w:rFonts w:hint="eastAsia" w:ascii="宋体" w:hAnsi="宋体" w:eastAsia="宋体" w:cs="宋体"/>
          <w:color w:val="000000"/>
          <w:kern w:val="0"/>
          <w:sz w:val="28"/>
          <w:szCs w:val="28"/>
          <w:lang w:bidi="ar"/>
        </w:rPr>
        <w:t>院级课题实行公开自愿申报。申报者应如实填写申请材料，并保证无知识产权争议。凡在申请中弄虚作假者，一经发现并查实后，取消个人3年申报资格。</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 xml:space="preserve">第六条 </w:t>
      </w:r>
      <w:r>
        <w:rPr>
          <w:rFonts w:hint="eastAsia" w:ascii="宋体" w:hAnsi="宋体" w:eastAsia="宋体" w:cs="宋体"/>
          <w:color w:val="000000"/>
          <w:kern w:val="0"/>
          <w:sz w:val="28"/>
          <w:szCs w:val="28"/>
          <w:lang w:bidi="ar"/>
        </w:rPr>
        <w:t xml:space="preserve"> 申请者须认真填写《廊坊燕京职业技术学院科研课题申请书》（以下简称《申请书》），送所在部门审核。申请者所在部门对其内容的真实性、可行性及申请条件等提出审查意见后，集中报送教务处。</w:t>
      </w:r>
    </w:p>
    <w:p>
      <w:pPr>
        <w:widowControl/>
        <w:spacing w:line="480" w:lineRule="atLeast"/>
        <w:ind w:firstLine="555"/>
        <w:jc w:val="left"/>
        <w:rPr>
          <w:rFonts w:ascii="宋体" w:hAnsi="宋体" w:eastAsia="宋体" w:cs="宋体"/>
          <w:color w:val="000000"/>
          <w:kern w:val="0"/>
          <w:sz w:val="28"/>
          <w:szCs w:val="28"/>
          <w:lang w:bidi="ar"/>
        </w:rPr>
      </w:pPr>
      <w:r>
        <w:rPr>
          <w:rStyle w:val="12"/>
          <w:rFonts w:hint="eastAsia" w:ascii="宋体" w:hAnsi="宋体" w:eastAsia="宋体" w:cs="宋体"/>
          <w:bCs/>
          <w:color w:val="000000"/>
          <w:kern w:val="0"/>
          <w:sz w:val="28"/>
          <w:szCs w:val="28"/>
          <w:lang w:bidi="ar"/>
        </w:rPr>
        <w:t xml:space="preserve">第七条  </w:t>
      </w:r>
      <w:r>
        <w:rPr>
          <w:rFonts w:hint="eastAsia" w:ascii="宋体" w:hAnsi="宋体" w:eastAsia="宋体" w:cs="宋体"/>
          <w:color w:val="000000"/>
          <w:kern w:val="0"/>
          <w:sz w:val="28"/>
          <w:szCs w:val="28"/>
          <w:lang w:bidi="ar"/>
        </w:rPr>
        <w:t>院级课题立项实行专家评审制。由学院学术委员会对申报的课题进行评审，提出是否立项的意见。评审程序如下：</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（一）资格审查。教务处按本办法第二章第三条各项内容进行审查，合格者进入初评；</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color w:val="000000"/>
          <w:kern w:val="0"/>
          <w:sz w:val="28"/>
          <w:szCs w:val="28"/>
          <w:lang w:bidi="ar"/>
        </w:rPr>
        <w:t>（二）会议评审。学术委员会依据统一制定的评估指标体系进行评分，择优选出拟立项课题；</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（三）复核公示。教务处对会议评审结果进行复核，并将拟立项课题在校内进行公示，公示期5天。公示期内，凡对拟立项课题有异议的，可以向教务处提出实名书面意见，教务处经调查核实予以回复；</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（四）课题立项。公示期满无异议后，教务处将立项课题名单提交院长办公会研究确定后发文公布。</w:t>
      </w:r>
    </w:p>
    <w:p>
      <w:pPr>
        <w:widowControl/>
        <w:spacing w:line="480" w:lineRule="atLeast"/>
        <w:jc w:val="center"/>
        <w:rPr>
          <w:rFonts w:ascii="宋体" w:hAnsi="宋体" w:eastAsia="宋体" w:cs="宋体"/>
          <w:b/>
          <w:color w:val="000000"/>
          <w:kern w:val="0"/>
          <w:sz w:val="28"/>
          <w:szCs w:val="28"/>
          <w:lang w:bidi="ar"/>
        </w:rPr>
      </w:pPr>
      <w:r>
        <w:rPr>
          <w:rFonts w:hint="eastAsia" w:ascii="宋体" w:hAnsi="宋体" w:eastAsia="宋体" w:cs="宋体"/>
          <w:b/>
          <w:color w:val="000000"/>
          <w:kern w:val="0"/>
          <w:sz w:val="28"/>
          <w:szCs w:val="28"/>
          <w:lang w:bidi="ar"/>
        </w:rPr>
        <w:t>第三章</w:t>
      </w:r>
      <w:r>
        <w:rPr>
          <w:rFonts w:hint="eastAsia" w:ascii="宋体" w:hAnsi="宋体" w:cs="宋体"/>
          <w:b/>
          <w:color w:val="000000"/>
          <w:kern w:val="0"/>
          <w:sz w:val="28"/>
          <w:szCs w:val="28"/>
          <w:lang w:val="en-US" w:eastAsia="zh-CN" w:bidi="ar"/>
        </w:rPr>
        <w:t xml:space="preserve">  </w:t>
      </w:r>
      <w:r>
        <w:rPr>
          <w:rFonts w:hint="eastAsia" w:ascii="宋体" w:hAnsi="宋体" w:eastAsia="宋体" w:cs="宋体"/>
          <w:b/>
          <w:color w:val="000000"/>
          <w:kern w:val="0"/>
          <w:sz w:val="28"/>
          <w:szCs w:val="28"/>
          <w:lang w:bidi="ar"/>
        </w:rPr>
        <w:t>实施与管理</w:t>
      </w:r>
    </w:p>
    <w:p>
      <w:pPr>
        <w:widowControl/>
        <w:spacing w:line="480" w:lineRule="atLeast"/>
        <w:ind w:firstLine="555"/>
        <w:jc w:val="left"/>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 xml:space="preserve">第八条  </w:t>
      </w:r>
      <w:r>
        <w:rPr>
          <w:rFonts w:hint="eastAsia" w:ascii="宋体" w:hAnsi="宋体" w:eastAsia="宋体" w:cs="宋体"/>
          <w:color w:val="000000"/>
          <w:kern w:val="0"/>
          <w:sz w:val="28"/>
          <w:szCs w:val="28"/>
          <w:lang w:bidi="ar"/>
        </w:rPr>
        <w:t>课题负责人全面负责课题研究的组织实施工作，应明确课题组成员的职责分工，合理安排进度，认真按计划开展工作。</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b/>
          <w:color w:val="000000"/>
          <w:kern w:val="0"/>
          <w:sz w:val="28"/>
          <w:szCs w:val="28"/>
          <w:lang w:bidi="ar"/>
        </w:rPr>
        <w:t>第九条</w:t>
      </w:r>
      <w:r>
        <w:rPr>
          <w:rFonts w:hint="eastAsia" w:ascii="宋体" w:hAnsi="宋体" w:eastAsia="宋体" w:cs="宋体"/>
          <w:color w:val="000000"/>
          <w:kern w:val="0"/>
          <w:sz w:val="28"/>
          <w:szCs w:val="28"/>
          <w:lang w:bidi="ar"/>
        </w:rPr>
        <w:t xml:space="preserve">  教务处每年对在研课题的进展情况进行一次全面检查，必要时对在研课题进行不定期抽查。课题检查的主要内容有：研究方案执行情况、资料积累(实验数据记录、样本）情况、经费开支情况、取得的阶段性成果等。</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b/>
          <w:color w:val="000000"/>
          <w:kern w:val="0"/>
          <w:sz w:val="28"/>
          <w:szCs w:val="28"/>
          <w:lang w:bidi="ar"/>
        </w:rPr>
        <w:t xml:space="preserve">第十条  </w:t>
      </w:r>
      <w:r>
        <w:rPr>
          <w:rFonts w:hint="eastAsia" w:ascii="宋体" w:hAnsi="宋体" w:eastAsia="宋体" w:cs="宋体"/>
          <w:color w:val="000000"/>
          <w:kern w:val="0"/>
          <w:sz w:val="28"/>
          <w:szCs w:val="28"/>
          <w:lang w:bidi="ar"/>
        </w:rPr>
        <w:t>教务处根据检查结果，提出处理意见。确因主观原因影响课题进度的，限期整改，必要时暂停使用课题经费。</w:t>
      </w:r>
    </w:p>
    <w:p>
      <w:pPr>
        <w:widowControl/>
        <w:spacing w:line="480" w:lineRule="atLeast"/>
        <w:ind w:firstLine="562" w:firstLineChars="200"/>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第十一条</w:t>
      </w:r>
      <w:r>
        <w:rPr>
          <w:rFonts w:hint="eastAsia" w:ascii="宋体" w:hAnsi="宋体" w:eastAsia="宋体" w:cs="宋体"/>
          <w:color w:val="000000"/>
          <w:kern w:val="0"/>
          <w:sz w:val="28"/>
          <w:szCs w:val="28"/>
          <w:lang w:bidi="ar"/>
        </w:rPr>
        <w:t xml:space="preserve">  凡检查过程中发生下列情况的课题，由教务处报主管院领导批准后给予撤项。</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（一）无论何种原因，一直未起动研究工作的课题；</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（二）课题实施情况表明，课题承担人不具备按原计划完成研究任务的条件和能力的课题；</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（三）课题承担人（包括课题组主要成员）长期出国或因工作变动、健康等原因不能正常进行研究工作的课题；</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（四）未经批准擅自变更课题承担人或研究名称的课题；</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（五）由于课题组内部原因，研究已无法进行的课题；</w:t>
      </w:r>
    </w:p>
    <w:p>
      <w:pPr>
        <w:widowControl/>
        <w:spacing w:line="480" w:lineRule="atLeast"/>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（六）违反国家法律及教育行政部门有关规定的课题。</w:t>
      </w:r>
    </w:p>
    <w:p>
      <w:pPr>
        <w:widowControl/>
        <w:spacing w:line="480" w:lineRule="atLeast"/>
        <w:jc w:val="center"/>
        <w:rPr>
          <w:rFonts w:ascii="宋体" w:hAnsi="宋体" w:eastAsia="宋体" w:cs="宋体"/>
          <w:b/>
          <w:color w:val="000000"/>
          <w:kern w:val="0"/>
          <w:sz w:val="28"/>
          <w:szCs w:val="28"/>
          <w:lang w:bidi="ar"/>
        </w:rPr>
      </w:pPr>
      <w:r>
        <w:rPr>
          <w:rFonts w:hint="eastAsia" w:ascii="宋体" w:hAnsi="宋体" w:eastAsia="宋体" w:cs="宋体"/>
          <w:b/>
          <w:color w:val="000000"/>
          <w:kern w:val="0"/>
          <w:sz w:val="28"/>
          <w:szCs w:val="28"/>
          <w:lang w:bidi="ar"/>
        </w:rPr>
        <w:t>第四章</w:t>
      </w:r>
      <w:r>
        <w:rPr>
          <w:rFonts w:hint="eastAsia" w:ascii="宋体" w:hAnsi="宋体" w:cs="宋体"/>
          <w:b/>
          <w:color w:val="000000"/>
          <w:kern w:val="0"/>
          <w:sz w:val="28"/>
          <w:szCs w:val="28"/>
          <w:lang w:val="en-US" w:eastAsia="zh-CN" w:bidi="ar"/>
        </w:rPr>
        <w:t xml:space="preserve">  </w:t>
      </w:r>
      <w:r>
        <w:rPr>
          <w:rFonts w:hint="eastAsia" w:ascii="宋体" w:hAnsi="宋体" w:eastAsia="宋体" w:cs="宋体"/>
          <w:b/>
          <w:color w:val="000000"/>
          <w:kern w:val="0"/>
          <w:sz w:val="28"/>
          <w:szCs w:val="28"/>
          <w:lang w:bidi="ar"/>
        </w:rPr>
        <w:t>结项与验收</w:t>
      </w:r>
    </w:p>
    <w:p>
      <w:pPr>
        <w:widowControl/>
        <w:spacing w:line="480" w:lineRule="atLeast"/>
        <w:ind w:firstLine="555"/>
        <w:jc w:val="left"/>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 xml:space="preserve">第十二条  </w:t>
      </w:r>
      <w:r>
        <w:rPr>
          <w:rFonts w:hint="eastAsia" w:ascii="宋体" w:hAnsi="宋体" w:eastAsia="宋体" w:cs="宋体"/>
          <w:color w:val="000000"/>
          <w:kern w:val="0"/>
          <w:sz w:val="28"/>
          <w:szCs w:val="28"/>
          <w:lang w:bidi="ar"/>
        </w:rPr>
        <w:t>院级课题由教务处负责组织结题鉴定。结题时间原则上安排在每年的6月进行。课题组应提交以下材料：①申报书；②《廊坊燕京职业技术学院院级课题结题鉴定·评审书》；③研究总报告；④成果、附件材料等。以上结题材料均应以电子及书面（一式一份）方式及时报教务处备案存档。</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第十三条</w:t>
      </w:r>
      <w:r>
        <w:rPr>
          <w:rFonts w:hint="eastAsia" w:ascii="宋体" w:hAnsi="宋体" w:eastAsia="宋体" w:cs="宋体"/>
          <w:color w:val="000000"/>
          <w:kern w:val="0"/>
          <w:sz w:val="28"/>
          <w:szCs w:val="28"/>
          <w:lang w:bidi="ar"/>
        </w:rPr>
        <w:t xml:space="preserve">  院级课题结题须满足下列条件之一：①主持人至少有1篇论文以第一作者公开发表省级以上刊物（须标注院级课题专项资金资助及课题编号）及研究报告一篇（1万字以上）；②研究成果经学院正式批准应用于学院教学管理中及研究报告一篇（1万字以上）。</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 xml:space="preserve">第十四条 </w:t>
      </w:r>
      <w:r>
        <w:rPr>
          <w:rFonts w:hint="eastAsia" w:ascii="宋体" w:hAnsi="宋体" w:eastAsia="宋体" w:cs="宋体"/>
          <w:color w:val="000000"/>
          <w:kern w:val="0"/>
          <w:sz w:val="28"/>
          <w:szCs w:val="28"/>
          <w:lang w:bidi="ar"/>
        </w:rPr>
        <w:t xml:space="preserve"> 院级课题结题鉴定采用会议鉴定的方式。每个课题的鉴定专家至少为3人，并设一名组长。鉴定专家一般由学院学术委员会委员担任，课题组成员不能担任本课题的鉴定专家。鉴定专家参照评价指标体系设定的指标打分，并写出鉴定意见。鉴定意见由专家组成员共同讨论后由组长签署。教务处汇总专家鉴定意见，计算分值，确定成果等级。课题结题鉴定结果分为“优秀”“良好”“合格”“不合格”四个等级。平均分90分（含）以上者为“优秀”等级，平均分80</w:t>
      </w:r>
      <w:r>
        <w:rPr>
          <w:rFonts w:hint="eastAsia" w:ascii="宋体" w:hAnsi="宋体" w:eastAsia="宋体" w:cs="宋体"/>
          <w:color w:val="000000"/>
          <w:kern w:val="0"/>
          <w:sz w:val="28"/>
          <w:szCs w:val="28"/>
          <w:lang w:val="en-US" w:eastAsia="zh-CN" w:bidi="ar"/>
        </w:rPr>
        <w:t>分（含）—</w:t>
      </w:r>
      <w:r>
        <w:rPr>
          <w:rFonts w:hint="eastAsia" w:ascii="宋体" w:hAnsi="宋体" w:eastAsia="宋体" w:cs="宋体"/>
          <w:color w:val="000000"/>
          <w:kern w:val="0"/>
          <w:sz w:val="28"/>
          <w:szCs w:val="28"/>
          <w:lang w:bidi="ar"/>
        </w:rPr>
        <w:t>89分之间者为“良好”等级，平均分60（含</w:t>
      </w:r>
      <w:r>
        <w:rPr>
          <w:rFonts w:hint="eastAsia" w:ascii="宋体" w:hAnsi="宋体" w:eastAsia="宋体" w:cs="宋体"/>
          <w:color w:val="000000"/>
          <w:kern w:val="0"/>
          <w:sz w:val="28"/>
          <w:szCs w:val="28"/>
          <w:lang w:eastAsia="zh-CN" w:bidi="ar"/>
        </w:rPr>
        <w:t>）—</w:t>
      </w:r>
      <w:r>
        <w:rPr>
          <w:rFonts w:hint="eastAsia" w:ascii="宋体" w:hAnsi="宋体" w:eastAsia="宋体" w:cs="宋体"/>
          <w:color w:val="000000"/>
          <w:kern w:val="0"/>
          <w:sz w:val="28"/>
          <w:szCs w:val="28"/>
          <w:lang w:bidi="ar"/>
        </w:rPr>
        <w:t>79分之间者为“合格”等级，平均分60分以下者为“不合格”等级。</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第十五条</w:t>
      </w:r>
      <w:r>
        <w:rPr>
          <w:rFonts w:hint="eastAsia" w:ascii="宋体" w:hAnsi="宋体" w:eastAsia="宋体" w:cs="宋体"/>
          <w:color w:val="000000"/>
          <w:kern w:val="0"/>
          <w:sz w:val="28"/>
          <w:szCs w:val="28"/>
          <w:lang w:bidi="ar"/>
        </w:rPr>
        <w:t xml:space="preserve">  鉴定等级为“合格”以上的课题，提交院长办公会研究确定后发文公布。鉴定等级为“不合格”的课题，其负责人可以书面申请延期一年，对成果进行修改，并由教务处重新组织鉴定，重新鉴定仍不能通过的予以撤项。</w:t>
      </w:r>
    </w:p>
    <w:p>
      <w:pPr>
        <w:widowControl/>
        <w:spacing w:line="480" w:lineRule="atLeast"/>
        <w:jc w:val="center"/>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第五章</w:t>
      </w:r>
      <w:r>
        <w:rPr>
          <w:rStyle w:val="12"/>
          <w:rFonts w:hint="eastAsia" w:ascii="宋体" w:hAnsi="宋体" w:cs="宋体"/>
          <w:bCs/>
          <w:color w:val="000000"/>
          <w:kern w:val="0"/>
          <w:sz w:val="28"/>
          <w:szCs w:val="28"/>
          <w:lang w:val="en-US" w:eastAsia="zh-CN" w:bidi="ar"/>
        </w:rPr>
        <w:t xml:space="preserve">  </w:t>
      </w:r>
      <w:r>
        <w:rPr>
          <w:rStyle w:val="12"/>
          <w:rFonts w:hint="eastAsia" w:ascii="宋体" w:hAnsi="宋体" w:eastAsia="宋体" w:cs="宋体"/>
          <w:bCs/>
          <w:color w:val="000000"/>
          <w:kern w:val="0"/>
          <w:sz w:val="28"/>
          <w:szCs w:val="28"/>
          <w:lang w:bidi="ar"/>
        </w:rPr>
        <w:t>变更、延期和终止</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第十六条</w:t>
      </w:r>
      <w:r>
        <w:rPr>
          <w:rFonts w:hint="eastAsia" w:ascii="宋体" w:hAnsi="宋体" w:eastAsia="宋体" w:cs="宋体"/>
          <w:color w:val="000000"/>
          <w:kern w:val="0"/>
          <w:sz w:val="28"/>
          <w:szCs w:val="28"/>
          <w:lang w:bidi="ar"/>
        </w:rPr>
        <w:t xml:space="preserve">  课题负责人应保证参与者的稳定性。课题组成员原则上不得变更，因客观原因确需增加或退出的（如课题组成员违反红七条、有学术不端行为等情况），由课题负责人认真填写《廊坊燕京职业技术学院院级课题变更审批表》后报教务处审批。</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b/>
          <w:color w:val="000000"/>
          <w:kern w:val="0"/>
          <w:sz w:val="28"/>
          <w:szCs w:val="28"/>
          <w:lang w:bidi="ar"/>
        </w:rPr>
        <w:t>第十七条</w:t>
      </w:r>
      <w:r>
        <w:rPr>
          <w:rFonts w:hint="eastAsia" w:ascii="宋体" w:hAnsi="宋体" w:eastAsia="宋体" w:cs="宋体"/>
          <w:color w:val="000000"/>
          <w:kern w:val="0"/>
          <w:sz w:val="28"/>
          <w:szCs w:val="28"/>
          <w:lang w:bidi="ar"/>
        </w:rPr>
        <w:t xml:space="preserve">  因客观原因不能按期完成的，由课题负责人提前3个月提出书面申请，经教务处批准方可延期，延期时间不得超过1年。延期的课题不能通过结题的，作撤项处理。</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b/>
          <w:color w:val="000000"/>
          <w:kern w:val="0"/>
          <w:sz w:val="28"/>
          <w:szCs w:val="28"/>
          <w:lang w:bidi="ar"/>
        </w:rPr>
        <w:t xml:space="preserve">第十八条  </w:t>
      </w:r>
      <w:r>
        <w:rPr>
          <w:rFonts w:hint="eastAsia" w:ascii="宋体" w:hAnsi="宋体" w:eastAsia="宋体" w:cs="宋体"/>
          <w:color w:val="000000"/>
          <w:kern w:val="0"/>
          <w:sz w:val="28"/>
          <w:szCs w:val="28"/>
          <w:lang w:bidi="ar"/>
        </w:rPr>
        <w:t>申请延期结题的课题负责人在课题结题后的下一年度中不得申报院级课题。</w:t>
      </w:r>
    </w:p>
    <w:p>
      <w:pPr>
        <w:widowControl/>
        <w:spacing w:line="480" w:lineRule="atLeast"/>
        <w:ind w:firstLine="555"/>
        <w:jc w:val="left"/>
        <w:rPr>
          <w:rFonts w:ascii="宋体" w:hAnsi="宋体" w:eastAsia="宋体" w:cs="宋体"/>
          <w:color w:val="000000"/>
          <w:kern w:val="0"/>
          <w:sz w:val="28"/>
          <w:szCs w:val="28"/>
          <w:lang w:bidi="ar"/>
        </w:rPr>
      </w:pPr>
      <w:r>
        <w:rPr>
          <w:rFonts w:hint="eastAsia" w:ascii="宋体" w:hAnsi="宋体" w:eastAsia="宋体" w:cs="宋体"/>
          <w:b/>
          <w:color w:val="000000"/>
          <w:kern w:val="0"/>
          <w:sz w:val="28"/>
          <w:szCs w:val="28"/>
          <w:lang w:bidi="ar"/>
        </w:rPr>
        <w:t xml:space="preserve">第十九条  </w:t>
      </w:r>
      <w:r>
        <w:rPr>
          <w:rFonts w:hint="eastAsia" w:ascii="宋体" w:hAnsi="宋体" w:eastAsia="宋体" w:cs="宋体"/>
          <w:color w:val="000000"/>
          <w:kern w:val="0"/>
          <w:sz w:val="28"/>
          <w:szCs w:val="28"/>
          <w:lang w:bidi="ar"/>
        </w:rPr>
        <w:t>院级课题的完成时间一般为1-2年。重大或需要在教学实践中验证的课题，经主管院长批准，研究年限最长不得超过3年。在计划时间内未完成的课题，课题负责人应向教务处提出要求延期一年完成的申请，若延期一年尚未通过验收或不能再进行的课题，课题负责人应提出撤销立项申请，且交回学院支付的全部课题经费。对课题逾期未结题又不书面说明原因的课题组，课题负责人3年内不能进行新的科研立项。</w:t>
      </w:r>
    </w:p>
    <w:p>
      <w:pPr>
        <w:widowControl/>
        <w:spacing w:line="480" w:lineRule="atLeast"/>
        <w:ind w:firstLine="555"/>
        <w:jc w:val="left"/>
        <w:rPr>
          <w:rFonts w:ascii="宋体" w:hAnsi="宋体" w:eastAsia="宋体" w:cs="宋体"/>
          <w:color w:val="000000"/>
          <w:sz w:val="18"/>
          <w:szCs w:val="18"/>
        </w:rPr>
      </w:pPr>
      <w:r>
        <w:rPr>
          <w:rFonts w:hint="eastAsia" w:ascii="宋体" w:hAnsi="宋体" w:eastAsia="宋体" w:cs="宋体"/>
          <w:b/>
          <w:color w:val="000000"/>
          <w:spacing w:val="-15"/>
          <w:kern w:val="0"/>
          <w:sz w:val="28"/>
          <w:szCs w:val="28"/>
          <w:lang w:bidi="ar"/>
        </w:rPr>
        <w:t>第二十条</w:t>
      </w:r>
      <w:r>
        <w:rPr>
          <w:rFonts w:hint="eastAsia" w:ascii="宋体" w:hAnsi="宋体" w:eastAsia="宋体" w:cs="宋体"/>
          <w:color w:val="000000"/>
          <w:spacing w:val="-15"/>
          <w:kern w:val="0"/>
          <w:sz w:val="28"/>
          <w:szCs w:val="28"/>
          <w:lang w:bidi="ar"/>
        </w:rPr>
        <w:t xml:space="preserve">  研究过程中因故不能继续进行的课题，课题负责人应提交书面终止申请报告，同时停止经费支出，经教务处审核、主管院长批准后方可办理终止手续。非正式终止的项目，项目主持人</w:t>
      </w:r>
      <w:r>
        <w:rPr>
          <w:rFonts w:hint="eastAsia" w:ascii="宋体" w:hAnsi="宋体" w:eastAsia="宋体" w:cs="宋体"/>
          <w:color w:val="000000"/>
          <w:kern w:val="0"/>
          <w:sz w:val="28"/>
          <w:szCs w:val="28"/>
          <w:lang w:bidi="ar"/>
        </w:rPr>
        <w:t>3年内不得再申请院级课题，学院也不推荐其申报纵向课题。</w:t>
      </w:r>
    </w:p>
    <w:p>
      <w:pPr>
        <w:widowControl/>
        <w:spacing w:line="480" w:lineRule="atLeast"/>
        <w:ind w:firstLine="555"/>
        <w:jc w:val="left"/>
        <w:rPr>
          <w:rFonts w:ascii="宋体" w:hAnsi="宋体" w:eastAsia="宋体" w:cs="宋体"/>
          <w:color w:val="000000"/>
          <w:kern w:val="0"/>
          <w:sz w:val="28"/>
          <w:szCs w:val="28"/>
          <w:lang w:bidi="ar"/>
        </w:rPr>
      </w:pPr>
      <w:r>
        <w:rPr>
          <w:rStyle w:val="12"/>
          <w:rFonts w:hint="eastAsia" w:ascii="宋体" w:hAnsi="宋体" w:eastAsia="宋体" w:cs="宋体"/>
          <w:bCs/>
          <w:color w:val="000000"/>
          <w:kern w:val="0"/>
          <w:sz w:val="28"/>
          <w:szCs w:val="28"/>
          <w:lang w:bidi="ar"/>
        </w:rPr>
        <w:t xml:space="preserve">第二十一条  </w:t>
      </w:r>
      <w:r>
        <w:rPr>
          <w:rFonts w:hint="eastAsia" w:ascii="宋体" w:hAnsi="宋体" w:eastAsia="宋体" w:cs="宋体"/>
          <w:color w:val="000000"/>
          <w:kern w:val="0"/>
          <w:sz w:val="28"/>
          <w:szCs w:val="28"/>
          <w:lang w:bidi="ar"/>
        </w:rPr>
        <w:t>院级课题严格执行预算制度，课题负责人须根据课题实际需要，按照相关管理办法提出合理预算。课题负责人所在部门对课题经费的执行和研究任务的完成承担相应的检查和督促责任。</w:t>
      </w:r>
    </w:p>
    <w:p>
      <w:pPr>
        <w:widowControl/>
        <w:spacing w:line="480" w:lineRule="atLeast"/>
        <w:jc w:val="center"/>
        <w:rPr>
          <w:rFonts w:ascii="宋体" w:hAnsi="宋体" w:eastAsia="宋体" w:cs="宋体"/>
          <w:b/>
          <w:color w:val="000000"/>
          <w:sz w:val="18"/>
          <w:szCs w:val="18"/>
        </w:rPr>
      </w:pPr>
      <w:r>
        <w:rPr>
          <w:rFonts w:hint="eastAsia" w:ascii="宋体" w:hAnsi="宋体" w:eastAsia="宋体" w:cs="宋体"/>
          <w:b/>
          <w:color w:val="000000"/>
          <w:kern w:val="0"/>
          <w:sz w:val="28"/>
          <w:szCs w:val="28"/>
          <w:lang w:bidi="ar"/>
        </w:rPr>
        <w:t>第六章</w:t>
      </w:r>
      <w:r>
        <w:rPr>
          <w:rFonts w:hint="eastAsia" w:ascii="宋体" w:hAnsi="宋体" w:cs="宋体"/>
          <w:b/>
          <w:color w:val="000000"/>
          <w:kern w:val="0"/>
          <w:sz w:val="28"/>
          <w:szCs w:val="28"/>
          <w:lang w:val="en-US" w:eastAsia="zh-CN" w:bidi="ar"/>
        </w:rPr>
        <w:t xml:space="preserve">  </w:t>
      </w:r>
      <w:r>
        <w:rPr>
          <w:rFonts w:hint="eastAsia" w:ascii="宋体" w:hAnsi="宋体" w:eastAsia="宋体" w:cs="宋体"/>
          <w:b/>
          <w:color w:val="000000"/>
          <w:kern w:val="0"/>
          <w:sz w:val="28"/>
          <w:szCs w:val="28"/>
          <w:lang w:bidi="ar"/>
        </w:rPr>
        <w:t>附则</w:t>
      </w:r>
    </w:p>
    <w:p>
      <w:pPr>
        <w:widowControl/>
        <w:spacing w:line="480" w:lineRule="atLeast"/>
        <w:ind w:firstLine="555"/>
        <w:jc w:val="left"/>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 xml:space="preserve">第二十二条 </w:t>
      </w:r>
      <w:r>
        <w:rPr>
          <w:rFonts w:hint="eastAsia" w:ascii="宋体" w:hAnsi="宋体" w:eastAsia="宋体" w:cs="宋体"/>
          <w:color w:val="000000"/>
          <w:kern w:val="0"/>
          <w:sz w:val="28"/>
          <w:szCs w:val="28"/>
          <w:lang w:bidi="ar"/>
        </w:rPr>
        <w:t xml:space="preserve"> 本管理办法由教务处负责解释。</w:t>
      </w:r>
    </w:p>
    <w:p>
      <w:pPr>
        <w:widowControl/>
        <w:spacing w:line="480" w:lineRule="atLeast"/>
        <w:ind w:firstLine="555"/>
        <w:jc w:val="left"/>
        <w:rPr>
          <w:rFonts w:ascii="宋体" w:hAnsi="宋体" w:eastAsia="宋体" w:cs="宋体"/>
          <w:color w:val="000000"/>
          <w:sz w:val="18"/>
          <w:szCs w:val="18"/>
        </w:rPr>
      </w:pPr>
      <w:r>
        <w:rPr>
          <w:rStyle w:val="12"/>
          <w:rFonts w:hint="eastAsia" w:ascii="宋体" w:hAnsi="宋体" w:eastAsia="宋体" w:cs="宋体"/>
          <w:bCs/>
          <w:color w:val="000000"/>
          <w:kern w:val="0"/>
          <w:sz w:val="28"/>
          <w:szCs w:val="28"/>
          <w:lang w:bidi="ar"/>
        </w:rPr>
        <w:t>第二十三条</w:t>
      </w:r>
      <w:r>
        <w:rPr>
          <w:rFonts w:hint="eastAsia" w:ascii="宋体" w:hAnsi="宋体" w:eastAsia="宋体" w:cs="宋体"/>
          <w:color w:val="000000"/>
          <w:kern w:val="0"/>
          <w:sz w:val="28"/>
          <w:szCs w:val="28"/>
          <w:lang w:bidi="ar"/>
        </w:rPr>
        <w:t xml:space="preserve">  本办法自公布之日起执行。</w:t>
      </w:r>
    </w:p>
    <w:p/>
    <w:p/>
    <w:p>
      <w:pPr>
        <w:jc w:val="right"/>
        <w:rPr>
          <w:rFonts w:hint="eastAsia"/>
          <w:sz w:val="32"/>
          <w:szCs w:val="40"/>
          <w:lang w:val="en-US" w:eastAsia="zh-CN"/>
        </w:rPr>
      </w:pPr>
    </w:p>
    <w:p>
      <w:pPr>
        <w:jc w:val="right"/>
        <w:rPr>
          <w:rFonts w:hint="eastAsia"/>
          <w:sz w:val="32"/>
          <w:szCs w:val="40"/>
          <w:lang w:val="en-US" w:eastAsia="zh-CN"/>
        </w:rPr>
      </w:pPr>
      <w:r>
        <w:rPr>
          <w:rFonts w:hint="eastAsia"/>
          <w:sz w:val="32"/>
          <w:szCs w:val="40"/>
          <w:lang w:val="en-US" w:eastAsia="zh-CN"/>
        </w:rPr>
        <w:t>廊坊燕京职业技术学院</w:t>
      </w:r>
    </w:p>
    <w:p>
      <w:pPr>
        <w:ind w:left="5460" w:leftChars="0" w:firstLine="420" w:firstLineChars="0"/>
        <w:jc w:val="center"/>
        <w:rPr>
          <w:rFonts w:hint="default"/>
          <w:sz w:val="32"/>
          <w:szCs w:val="40"/>
          <w:lang w:val="en-US" w:eastAsia="zh-CN"/>
        </w:rPr>
      </w:pPr>
      <w:r>
        <w:rPr>
          <w:rFonts w:hint="eastAsia"/>
          <w:sz w:val="32"/>
          <w:szCs w:val="40"/>
          <w:lang w:val="en-US" w:eastAsia="zh-CN"/>
        </w:rPr>
        <w:t>2023年11月16日</w:t>
      </w:r>
    </w:p>
    <w:p/>
    <w:p/>
    <w:p>
      <w:bookmarkStart w:id="0" w:name="_GoBack"/>
      <w:bookmarkEnd w:id="0"/>
    </w:p>
    <w:p/>
    <w:p/>
    <w:p/>
    <w:p/>
    <w:p/>
    <w:p/>
    <w:p/>
    <w:p/>
    <w:p/>
    <w:p/>
    <w:p/>
    <w:p/>
    <w:p/>
    <w:p/>
    <w:p/>
    <w:p/>
    <w:p/>
    <w:p/>
    <w:p/>
    <w:p/>
    <w:p>
      <w:pPr>
        <w:spacing w:line="200" w:lineRule="exact"/>
        <w:rPr>
          <w:rFonts w:ascii="宋体" w:hAnsi="宋体"/>
          <w:sz w:val="18"/>
          <w:szCs w:val="18"/>
        </w:rPr>
      </w:pPr>
      <w:r>
        <w:rPr>
          <w:rFonts w:hint="eastAsia" w:ascii="宋体" w:hAnsi="宋体"/>
          <w:sz w:val="32"/>
          <w:szCs w:val="32"/>
        </w:rPr>
        <w:t xml:space="preserve">                                 </w:t>
      </w:r>
    </w:p>
    <w:p>
      <w:pPr>
        <w:pBdr>
          <w:top w:val="single" w:color="auto" w:sz="6" w:space="1"/>
          <w:bottom w:val="single" w:color="auto" w:sz="6" w:space="1"/>
        </w:pBdr>
        <w:ind w:firstLine="140" w:firstLineChars="50"/>
        <w:rPr>
          <w:rFonts w:ascii="仿宋_GB2312" w:hAnsi="宋体" w:eastAsia="仿宋_GB2312"/>
          <w:sz w:val="32"/>
          <w:szCs w:val="32"/>
        </w:rPr>
      </w:pPr>
      <w:r>
        <w:rPr>
          <w:rFonts w:hint="eastAsia" w:ascii="仿宋" w:hAnsi="仿宋" w:eastAsia="仿宋"/>
          <w:sz w:val="28"/>
          <w:szCs w:val="28"/>
        </w:rPr>
        <w:t>廊坊燕京职业技术学院党政办公室        202</w:t>
      </w:r>
      <w:r>
        <w:rPr>
          <w:rFonts w:hint="eastAsia" w:ascii="仿宋" w:hAnsi="仿宋" w:eastAsia="仿宋"/>
          <w:sz w:val="28"/>
          <w:szCs w:val="28"/>
          <w:lang w:val="en-US" w:eastAsia="zh-CN"/>
        </w:rPr>
        <w:t>3</w:t>
      </w:r>
      <w:r>
        <w:rPr>
          <w:rFonts w:hint="eastAsia" w:ascii="仿宋" w:hAnsi="仿宋" w:eastAsia="仿宋"/>
          <w:sz w:val="28"/>
          <w:szCs w:val="28"/>
        </w:rPr>
        <w:t>年</w:t>
      </w:r>
      <w:r>
        <w:rPr>
          <w:rFonts w:hint="eastAsia" w:ascii="仿宋" w:hAnsi="仿宋" w:eastAsia="仿宋"/>
          <w:sz w:val="28"/>
          <w:szCs w:val="28"/>
          <w:lang w:val="en-US" w:eastAsia="zh-CN"/>
        </w:rPr>
        <w:t>11</w:t>
      </w:r>
      <w:r>
        <w:rPr>
          <w:rFonts w:hint="eastAsia" w:ascii="仿宋" w:hAnsi="仿宋" w:eastAsia="仿宋"/>
          <w:sz w:val="28"/>
          <w:szCs w:val="28"/>
        </w:rPr>
        <w:t>月</w:t>
      </w:r>
      <w:r>
        <w:rPr>
          <w:rFonts w:hint="eastAsia" w:ascii="仿宋" w:hAnsi="仿宋" w:eastAsia="仿宋"/>
          <w:sz w:val="28"/>
          <w:szCs w:val="28"/>
          <w:lang w:val="en-US" w:eastAsia="zh-CN"/>
        </w:rPr>
        <w:t>29</w:t>
      </w:r>
      <w:r>
        <w:rPr>
          <w:rFonts w:hint="eastAsia" w:ascii="仿宋" w:hAnsi="仿宋" w:eastAsia="仿宋"/>
          <w:sz w:val="28"/>
          <w:szCs w:val="28"/>
        </w:rPr>
        <w:t>日印发</w:t>
      </w:r>
    </w:p>
    <w:sectPr>
      <w:footerReference r:id="rId3" w:type="default"/>
      <w:footerReference r:id="rId4" w:type="even"/>
      <w:pgSz w:w="11906" w:h="16838"/>
      <w:pgMar w:top="1043" w:right="1400" w:bottom="1043" w:left="14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roma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5344415"/>
    </w:sdtPr>
    <w:sdtContent>
      <w:p>
        <w:pPr>
          <w:pStyle w:val="5"/>
          <w:jc w:val="right"/>
        </w:pPr>
        <w:r>
          <w:fldChar w:fldCharType="begin"/>
        </w:r>
        <w:r>
          <w:instrText xml:space="preserve">PAGE   \* MERGEFORMAT</w:instrText>
        </w:r>
        <w:r>
          <w:fldChar w:fldCharType="separate"/>
        </w:r>
        <w:r>
          <w:rPr>
            <w:lang w:val="zh-CN"/>
          </w:rPr>
          <w:t>3</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136219"/>
    </w:sdtPr>
    <w:sdtContent>
      <w:p>
        <w:pPr>
          <w:pStyle w:val="5"/>
        </w:pPr>
        <w:r>
          <w:fldChar w:fldCharType="begin"/>
        </w:r>
        <w:r>
          <w:instrText xml:space="preserve">PAGE   \* MERGEFORMAT</w:instrText>
        </w:r>
        <w:r>
          <w:fldChar w:fldCharType="separate"/>
        </w:r>
        <w:r>
          <w:rPr>
            <w:lang w:val="zh-CN"/>
          </w:rPr>
          <w:t>4</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TM0ODczYmVmNWU0OGFmN2JhYjNlMDE5Y2U0YTIifQ=="/>
  </w:docVars>
  <w:rsids>
    <w:rsidRoot w:val="00C96D83"/>
    <w:rsid w:val="00010947"/>
    <w:rsid w:val="00012E17"/>
    <w:rsid w:val="00013500"/>
    <w:rsid w:val="00015ACE"/>
    <w:rsid w:val="00017FA4"/>
    <w:rsid w:val="00024216"/>
    <w:rsid w:val="00024777"/>
    <w:rsid w:val="000369EC"/>
    <w:rsid w:val="00042473"/>
    <w:rsid w:val="000450D3"/>
    <w:rsid w:val="000516E8"/>
    <w:rsid w:val="00053726"/>
    <w:rsid w:val="00055862"/>
    <w:rsid w:val="00063549"/>
    <w:rsid w:val="0006705C"/>
    <w:rsid w:val="00073B2D"/>
    <w:rsid w:val="00097DD3"/>
    <w:rsid w:val="000A07AB"/>
    <w:rsid w:val="000A0BFC"/>
    <w:rsid w:val="000A5410"/>
    <w:rsid w:val="000C3A45"/>
    <w:rsid w:val="000D71C3"/>
    <w:rsid w:val="000E087D"/>
    <w:rsid w:val="000E1FB3"/>
    <w:rsid w:val="000F0FBA"/>
    <w:rsid w:val="00104093"/>
    <w:rsid w:val="001059B3"/>
    <w:rsid w:val="00111951"/>
    <w:rsid w:val="00124305"/>
    <w:rsid w:val="001256DF"/>
    <w:rsid w:val="00147C79"/>
    <w:rsid w:val="00172CE4"/>
    <w:rsid w:val="00185424"/>
    <w:rsid w:val="00187148"/>
    <w:rsid w:val="001A1741"/>
    <w:rsid w:val="001A6184"/>
    <w:rsid w:val="001A7736"/>
    <w:rsid w:val="001B0828"/>
    <w:rsid w:val="001B6EB9"/>
    <w:rsid w:val="001C2A75"/>
    <w:rsid w:val="001D3C3F"/>
    <w:rsid w:val="001E2046"/>
    <w:rsid w:val="001E4402"/>
    <w:rsid w:val="001F0A85"/>
    <w:rsid w:val="00200884"/>
    <w:rsid w:val="002116D5"/>
    <w:rsid w:val="00230D14"/>
    <w:rsid w:val="00230F5A"/>
    <w:rsid w:val="00233C83"/>
    <w:rsid w:val="00241704"/>
    <w:rsid w:val="00256DBE"/>
    <w:rsid w:val="00264DF6"/>
    <w:rsid w:val="00271B02"/>
    <w:rsid w:val="00281F94"/>
    <w:rsid w:val="00283452"/>
    <w:rsid w:val="00296196"/>
    <w:rsid w:val="002A13AB"/>
    <w:rsid w:val="002B6F7D"/>
    <w:rsid w:val="002C37EF"/>
    <w:rsid w:val="002E5896"/>
    <w:rsid w:val="002E7A93"/>
    <w:rsid w:val="002F0767"/>
    <w:rsid w:val="002F30F5"/>
    <w:rsid w:val="002F7D10"/>
    <w:rsid w:val="00307905"/>
    <w:rsid w:val="00317D21"/>
    <w:rsid w:val="003262BD"/>
    <w:rsid w:val="003328BE"/>
    <w:rsid w:val="00333FBB"/>
    <w:rsid w:val="00341267"/>
    <w:rsid w:val="003415CE"/>
    <w:rsid w:val="00346E8C"/>
    <w:rsid w:val="00371E89"/>
    <w:rsid w:val="00377A47"/>
    <w:rsid w:val="00382AC2"/>
    <w:rsid w:val="0038741F"/>
    <w:rsid w:val="003A0DBC"/>
    <w:rsid w:val="003B0923"/>
    <w:rsid w:val="003B46AB"/>
    <w:rsid w:val="003D09B9"/>
    <w:rsid w:val="003D4C63"/>
    <w:rsid w:val="003E1423"/>
    <w:rsid w:val="003F239E"/>
    <w:rsid w:val="003F2C4C"/>
    <w:rsid w:val="003F351D"/>
    <w:rsid w:val="003F5BEE"/>
    <w:rsid w:val="00403630"/>
    <w:rsid w:val="0040679C"/>
    <w:rsid w:val="0040680B"/>
    <w:rsid w:val="00415A32"/>
    <w:rsid w:val="00432CB4"/>
    <w:rsid w:val="0043696C"/>
    <w:rsid w:val="0044034E"/>
    <w:rsid w:val="0044066A"/>
    <w:rsid w:val="00472697"/>
    <w:rsid w:val="00475085"/>
    <w:rsid w:val="0047679A"/>
    <w:rsid w:val="004779A2"/>
    <w:rsid w:val="004906B4"/>
    <w:rsid w:val="00493F56"/>
    <w:rsid w:val="004A7A58"/>
    <w:rsid w:val="004B0A4B"/>
    <w:rsid w:val="004D0664"/>
    <w:rsid w:val="004D132D"/>
    <w:rsid w:val="004D5B0B"/>
    <w:rsid w:val="004E2A2C"/>
    <w:rsid w:val="004E4851"/>
    <w:rsid w:val="004F604E"/>
    <w:rsid w:val="0051205E"/>
    <w:rsid w:val="0051227F"/>
    <w:rsid w:val="00524A88"/>
    <w:rsid w:val="00524E41"/>
    <w:rsid w:val="0054161C"/>
    <w:rsid w:val="0055121C"/>
    <w:rsid w:val="00554782"/>
    <w:rsid w:val="00573E64"/>
    <w:rsid w:val="005855F7"/>
    <w:rsid w:val="0059721E"/>
    <w:rsid w:val="00597D94"/>
    <w:rsid w:val="005A51AE"/>
    <w:rsid w:val="005B5618"/>
    <w:rsid w:val="005C5D1D"/>
    <w:rsid w:val="005E79DB"/>
    <w:rsid w:val="005F2D5D"/>
    <w:rsid w:val="00611CE6"/>
    <w:rsid w:val="006207AE"/>
    <w:rsid w:val="00630683"/>
    <w:rsid w:val="0064056C"/>
    <w:rsid w:val="006521C4"/>
    <w:rsid w:val="0065520E"/>
    <w:rsid w:val="006613D9"/>
    <w:rsid w:val="006777A9"/>
    <w:rsid w:val="00690A2F"/>
    <w:rsid w:val="00693E06"/>
    <w:rsid w:val="006B2609"/>
    <w:rsid w:val="006B71AE"/>
    <w:rsid w:val="006B7443"/>
    <w:rsid w:val="006C1EFE"/>
    <w:rsid w:val="006C6835"/>
    <w:rsid w:val="006D0A2B"/>
    <w:rsid w:val="006D0EBE"/>
    <w:rsid w:val="006E160E"/>
    <w:rsid w:val="007037C4"/>
    <w:rsid w:val="00706F4A"/>
    <w:rsid w:val="00711068"/>
    <w:rsid w:val="0071120C"/>
    <w:rsid w:val="00726CE3"/>
    <w:rsid w:val="007320CA"/>
    <w:rsid w:val="007333E3"/>
    <w:rsid w:val="007572DD"/>
    <w:rsid w:val="00761005"/>
    <w:rsid w:val="0076182A"/>
    <w:rsid w:val="00763D5B"/>
    <w:rsid w:val="007669C9"/>
    <w:rsid w:val="00770A49"/>
    <w:rsid w:val="00780A73"/>
    <w:rsid w:val="0079055D"/>
    <w:rsid w:val="00792F75"/>
    <w:rsid w:val="007C0AE5"/>
    <w:rsid w:val="007C7323"/>
    <w:rsid w:val="007C7967"/>
    <w:rsid w:val="007E01F0"/>
    <w:rsid w:val="00812F85"/>
    <w:rsid w:val="008245C6"/>
    <w:rsid w:val="00846545"/>
    <w:rsid w:val="00851EA4"/>
    <w:rsid w:val="00856E3A"/>
    <w:rsid w:val="0088772A"/>
    <w:rsid w:val="00890773"/>
    <w:rsid w:val="0089685F"/>
    <w:rsid w:val="008A1E1C"/>
    <w:rsid w:val="008A21EF"/>
    <w:rsid w:val="008A6A64"/>
    <w:rsid w:val="008A74EC"/>
    <w:rsid w:val="008E07CF"/>
    <w:rsid w:val="008E327F"/>
    <w:rsid w:val="008E401C"/>
    <w:rsid w:val="008F3286"/>
    <w:rsid w:val="00901842"/>
    <w:rsid w:val="0090392F"/>
    <w:rsid w:val="00906E70"/>
    <w:rsid w:val="0091269A"/>
    <w:rsid w:val="00920E70"/>
    <w:rsid w:val="00934155"/>
    <w:rsid w:val="0093548B"/>
    <w:rsid w:val="00941AA7"/>
    <w:rsid w:val="00946533"/>
    <w:rsid w:val="00951FFB"/>
    <w:rsid w:val="00954ED9"/>
    <w:rsid w:val="009767F2"/>
    <w:rsid w:val="009774A8"/>
    <w:rsid w:val="00993BD1"/>
    <w:rsid w:val="0099642A"/>
    <w:rsid w:val="009967C4"/>
    <w:rsid w:val="009971FA"/>
    <w:rsid w:val="00997FD8"/>
    <w:rsid w:val="009A7394"/>
    <w:rsid w:val="009B5737"/>
    <w:rsid w:val="009C18B4"/>
    <w:rsid w:val="009C75FD"/>
    <w:rsid w:val="009D29F7"/>
    <w:rsid w:val="009D41AB"/>
    <w:rsid w:val="009D4779"/>
    <w:rsid w:val="009D5112"/>
    <w:rsid w:val="00A031A5"/>
    <w:rsid w:val="00A04C8B"/>
    <w:rsid w:val="00A066EE"/>
    <w:rsid w:val="00A12575"/>
    <w:rsid w:val="00A20A85"/>
    <w:rsid w:val="00A25FBE"/>
    <w:rsid w:val="00A308E9"/>
    <w:rsid w:val="00A3362B"/>
    <w:rsid w:val="00A4088F"/>
    <w:rsid w:val="00A427DF"/>
    <w:rsid w:val="00A50E71"/>
    <w:rsid w:val="00A514EC"/>
    <w:rsid w:val="00A55C48"/>
    <w:rsid w:val="00A67F94"/>
    <w:rsid w:val="00A73435"/>
    <w:rsid w:val="00A86A49"/>
    <w:rsid w:val="00A97092"/>
    <w:rsid w:val="00AB4CDA"/>
    <w:rsid w:val="00AB528B"/>
    <w:rsid w:val="00AD17E8"/>
    <w:rsid w:val="00AE2348"/>
    <w:rsid w:val="00AF13EA"/>
    <w:rsid w:val="00AF4A2C"/>
    <w:rsid w:val="00B04C38"/>
    <w:rsid w:val="00B1447D"/>
    <w:rsid w:val="00B14ECE"/>
    <w:rsid w:val="00B16B24"/>
    <w:rsid w:val="00B233D4"/>
    <w:rsid w:val="00B248D5"/>
    <w:rsid w:val="00B34B02"/>
    <w:rsid w:val="00B35E1A"/>
    <w:rsid w:val="00B36FAF"/>
    <w:rsid w:val="00B50078"/>
    <w:rsid w:val="00B62633"/>
    <w:rsid w:val="00B701B0"/>
    <w:rsid w:val="00B725E6"/>
    <w:rsid w:val="00B7610E"/>
    <w:rsid w:val="00B91997"/>
    <w:rsid w:val="00B93FF4"/>
    <w:rsid w:val="00BA75A3"/>
    <w:rsid w:val="00BA7F59"/>
    <w:rsid w:val="00BB0400"/>
    <w:rsid w:val="00BB05F9"/>
    <w:rsid w:val="00BB5714"/>
    <w:rsid w:val="00BC7D1A"/>
    <w:rsid w:val="00BD5A77"/>
    <w:rsid w:val="00BE1F2E"/>
    <w:rsid w:val="00BE2EEE"/>
    <w:rsid w:val="00BE589D"/>
    <w:rsid w:val="00BF5C15"/>
    <w:rsid w:val="00C06CBF"/>
    <w:rsid w:val="00C122AD"/>
    <w:rsid w:val="00C167CA"/>
    <w:rsid w:val="00C309DF"/>
    <w:rsid w:val="00C36D0D"/>
    <w:rsid w:val="00C4302A"/>
    <w:rsid w:val="00C46FF0"/>
    <w:rsid w:val="00C475DB"/>
    <w:rsid w:val="00C54B23"/>
    <w:rsid w:val="00C679C7"/>
    <w:rsid w:val="00C7294A"/>
    <w:rsid w:val="00C76CDD"/>
    <w:rsid w:val="00C94032"/>
    <w:rsid w:val="00C96D83"/>
    <w:rsid w:val="00CA14CC"/>
    <w:rsid w:val="00CA6614"/>
    <w:rsid w:val="00CA7533"/>
    <w:rsid w:val="00CB0DAD"/>
    <w:rsid w:val="00CB61CB"/>
    <w:rsid w:val="00CC34CE"/>
    <w:rsid w:val="00CC4227"/>
    <w:rsid w:val="00CC6D62"/>
    <w:rsid w:val="00CD472D"/>
    <w:rsid w:val="00CD482C"/>
    <w:rsid w:val="00CE1495"/>
    <w:rsid w:val="00CE3C72"/>
    <w:rsid w:val="00CE6C44"/>
    <w:rsid w:val="00CF1625"/>
    <w:rsid w:val="00CF7381"/>
    <w:rsid w:val="00D0520B"/>
    <w:rsid w:val="00D14234"/>
    <w:rsid w:val="00D145AA"/>
    <w:rsid w:val="00D14E7D"/>
    <w:rsid w:val="00D178C0"/>
    <w:rsid w:val="00D2686E"/>
    <w:rsid w:val="00D3295E"/>
    <w:rsid w:val="00D46375"/>
    <w:rsid w:val="00D54234"/>
    <w:rsid w:val="00D67C5C"/>
    <w:rsid w:val="00D74206"/>
    <w:rsid w:val="00D7431F"/>
    <w:rsid w:val="00D80B7F"/>
    <w:rsid w:val="00D91617"/>
    <w:rsid w:val="00D918D3"/>
    <w:rsid w:val="00D95308"/>
    <w:rsid w:val="00DA403D"/>
    <w:rsid w:val="00DB30B1"/>
    <w:rsid w:val="00DB369E"/>
    <w:rsid w:val="00DC5D32"/>
    <w:rsid w:val="00DD44E5"/>
    <w:rsid w:val="00DE059A"/>
    <w:rsid w:val="00DE0F44"/>
    <w:rsid w:val="00DE6D56"/>
    <w:rsid w:val="00E04522"/>
    <w:rsid w:val="00E114EA"/>
    <w:rsid w:val="00E11A30"/>
    <w:rsid w:val="00E141BE"/>
    <w:rsid w:val="00E15399"/>
    <w:rsid w:val="00E17EE7"/>
    <w:rsid w:val="00E216CD"/>
    <w:rsid w:val="00E22F37"/>
    <w:rsid w:val="00E343F4"/>
    <w:rsid w:val="00E41B52"/>
    <w:rsid w:val="00E533FA"/>
    <w:rsid w:val="00E84192"/>
    <w:rsid w:val="00E90F9D"/>
    <w:rsid w:val="00E9150D"/>
    <w:rsid w:val="00EA262F"/>
    <w:rsid w:val="00EA28EE"/>
    <w:rsid w:val="00EA5CF1"/>
    <w:rsid w:val="00EB5965"/>
    <w:rsid w:val="00EC09B6"/>
    <w:rsid w:val="00EC65D8"/>
    <w:rsid w:val="00EC6B75"/>
    <w:rsid w:val="00EC6E04"/>
    <w:rsid w:val="00ED5FD6"/>
    <w:rsid w:val="00EE6233"/>
    <w:rsid w:val="00EE6C8B"/>
    <w:rsid w:val="00EF1F87"/>
    <w:rsid w:val="00EF64D3"/>
    <w:rsid w:val="00F00D89"/>
    <w:rsid w:val="00F05684"/>
    <w:rsid w:val="00F062A0"/>
    <w:rsid w:val="00F12FB5"/>
    <w:rsid w:val="00F2246D"/>
    <w:rsid w:val="00F2319F"/>
    <w:rsid w:val="00F2330A"/>
    <w:rsid w:val="00F276A6"/>
    <w:rsid w:val="00F27824"/>
    <w:rsid w:val="00F34C7C"/>
    <w:rsid w:val="00F40880"/>
    <w:rsid w:val="00F4157A"/>
    <w:rsid w:val="00F45056"/>
    <w:rsid w:val="00F6378B"/>
    <w:rsid w:val="00F80B59"/>
    <w:rsid w:val="00F92F90"/>
    <w:rsid w:val="00F96341"/>
    <w:rsid w:val="00FA2D47"/>
    <w:rsid w:val="00FA7744"/>
    <w:rsid w:val="00FB2840"/>
    <w:rsid w:val="00FB2DEC"/>
    <w:rsid w:val="00FB305E"/>
    <w:rsid w:val="00FC1349"/>
    <w:rsid w:val="00FC2674"/>
    <w:rsid w:val="00FC71F6"/>
    <w:rsid w:val="00FD3093"/>
    <w:rsid w:val="00FD4478"/>
    <w:rsid w:val="00FD57CA"/>
    <w:rsid w:val="00FD721C"/>
    <w:rsid w:val="013E431D"/>
    <w:rsid w:val="0ABD1855"/>
    <w:rsid w:val="1359084D"/>
    <w:rsid w:val="1826518B"/>
    <w:rsid w:val="35273C42"/>
    <w:rsid w:val="353F29DC"/>
    <w:rsid w:val="380E2CAD"/>
    <w:rsid w:val="46DB7A00"/>
    <w:rsid w:val="47DE510B"/>
    <w:rsid w:val="58E73BD2"/>
    <w:rsid w:val="5FBC323C"/>
    <w:rsid w:val="60DF53E8"/>
    <w:rsid w:val="63F25EAE"/>
    <w:rsid w:val="669E350F"/>
    <w:rsid w:val="6CE93616"/>
    <w:rsid w:val="7755294A"/>
    <w:rsid w:val="7794124B"/>
    <w:rsid w:val="7B334EC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iPriority="99" w:semiHidden="0" w:name="header" w:locked="1"/>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jc w:val="left"/>
      <w:outlineLvl w:val="1"/>
    </w:pPr>
    <w:rPr>
      <w:rFonts w:hint="eastAsia" w:ascii="宋体" w:hAnsi="宋体"/>
      <w:b/>
      <w:kern w:val="0"/>
      <w:sz w:val="36"/>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20"/>
    <w:semiHidden/>
    <w:unhideWhenUsed/>
    <w:qFormat/>
    <w:locked/>
    <w:uiPriority w:val="99"/>
    <w:pPr>
      <w:ind w:left="100" w:leftChars="2500"/>
    </w:pPr>
  </w:style>
  <w:style w:type="paragraph" w:styleId="4">
    <w:name w:val="Balloon Text"/>
    <w:basedOn w:val="1"/>
    <w:link w:val="16"/>
    <w:semiHidden/>
    <w:qFormat/>
    <w:uiPriority w:val="99"/>
    <w:rPr>
      <w:kern w:val="0"/>
      <w:sz w:val="2"/>
      <w:szCs w:val="20"/>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unhideWhenUsed/>
    <w:qFormat/>
    <w:lock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locked/>
    <w:uiPriority w:val="99"/>
    <w:pPr>
      <w:spacing w:beforeAutospacing="1" w:afterAutospacing="1"/>
      <w:jc w:val="left"/>
    </w:pPr>
    <w:rPr>
      <w:rFonts w:ascii="Calibri" w:hAnsi="Calibri"/>
      <w:kern w:val="0"/>
      <w:sz w:val="24"/>
      <w:szCs w:val="22"/>
    </w:rPr>
  </w:style>
  <w:style w:type="paragraph" w:styleId="8">
    <w:name w:val="Title"/>
    <w:basedOn w:val="1"/>
    <w:next w:val="1"/>
    <w:link w:val="17"/>
    <w:qFormat/>
    <w:uiPriority w:val="99"/>
    <w:pPr>
      <w:spacing w:before="240" w:after="60"/>
      <w:jc w:val="center"/>
      <w:outlineLvl w:val="0"/>
    </w:pPr>
    <w:rPr>
      <w:rFonts w:ascii="Cambria" w:hAnsi="Cambria"/>
      <w:b/>
      <w:bCs/>
      <w:kern w:val="0"/>
      <w:sz w:val="32"/>
      <w:szCs w:val="32"/>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page number"/>
    <w:basedOn w:val="11"/>
    <w:qFormat/>
    <w:uiPriority w:val="99"/>
    <w:rPr>
      <w:rFonts w:cs="Times New Roman"/>
    </w:rPr>
  </w:style>
  <w:style w:type="character" w:customStyle="1" w:styleId="14">
    <w:name w:val="Title Char"/>
    <w:qFormat/>
    <w:locked/>
    <w:uiPriority w:val="99"/>
    <w:rPr>
      <w:rFonts w:ascii="Cambria" w:hAnsi="Cambria" w:eastAsia="宋体"/>
      <w:b/>
      <w:kern w:val="2"/>
      <w:sz w:val="32"/>
      <w:lang w:val="en-US" w:eastAsia="zh-CN"/>
    </w:rPr>
  </w:style>
  <w:style w:type="character" w:customStyle="1" w:styleId="15">
    <w:name w:val="页脚 Char"/>
    <w:basedOn w:val="11"/>
    <w:link w:val="5"/>
    <w:qFormat/>
    <w:locked/>
    <w:uiPriority w:val="99"/>
    <w:rPr>
      <w:sz w:val="18"/>
    </w:rPr>
  </w:style>
  <w:style w:type="character" w:customStyle="1" w:styleId="16">
    <w:name w:val="批注框文本 Char"/>
    <w:basedOn w:val="11"/>
    <w:link w:val="4"/>
    <w:semiHidden/>
    <w:qFormat/>
    <w:locked/>
    <w:uiPriority w:val="99"/>
    <w:rPr>
      <w:sz w:val="2"/>
    </w:rPr>
  </w:style>
  <w:style w:type="character" w:customStyle="1" w:styleId="17">
    <w:name w:val="标题 Char"/>
    <w:basedOn w:val="11"/>
    <w:link w:val="8"/>
    <w:qFormat/>
    <w:locked/>
    <w:uiPriority w:val="99"/>
    <w:rPr>
      <w:rFonts w:ascii="Cambria" w:hAnsi="Cambria"/>
      <w:b/>
      <w:sz w:val="32"/>
    </w:rPr>
  </w:style>
  <w:style w:type="paragraph" w:customStyle="1" w:styleId="18">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9">
    <w:name w:val="2"/>
    <w:basedOn w:val="1"/>
    <w:qFormat/>
    <w:uiPriority w:val="0"/>
    <w:pPr>
      <w:spacing w:afterLines="50" w:line="500" w:lineRule="exact"/>
    </w:pPr>
    <w:rPr>
      <w:rFonts w:ascii="仿宋" w:hAnsi="仿宋" w:eastAsia="仿宋" w:cs="仿宋"/>
      <w:b/>
      <w:sz w:val="28"/>
      <w:szCs w:val="28"/>
    </w:rPr>
  </w:style>
  <w:style w:type="character" w:customStyle="1" w:styleId="20">
    <w:name w:val="日期 Char"/>
    <w:basedOn w:val="11"/>
    <w:link w:val="3"/>
    <w:semiHidden/>
    <w:qFormat/>
    <w:uiPriority w:val="99"/>
    <w:rPr>
      <w:rFonts w:ascii="Times New Roman" w:hAnsi="Times New Roman"/>
      <w:kern w:val="2"/>
      <w:sz w:val="21"/>
      <w:szCs w:val="24"/>
    </w:rPr>
  </w:style>
  <w:style w:type="character" w:customStyle="1" w:styleId="21">
    <w:name w:val="font21"/>
    <w:basedOn w:val="11"/>
    <w:uiPriority w:val="0"/>
    <w:rPr>
      <w:rFonts w:hint="eastAsia" w:ascii="宋体" w:hAnsi="宋体" w:eastAsia="宋体" w:cs="宋体"/>
      <w:color w:val="000000"/>
      <w:sz w:val="22"/>
      <w:szCs w:val="22"/>
      <w:u w:val="none"/>
    </w:rPr>
  </w:style>
  <w:style w:type="character" w:customStyle="1" w:styleId="22">
    <w:name w:val="font11"/>
    <w:basedOn w:val="11"/>
    <w:uiPriority w:val="0"/>
    <w:rPr>
      <w:rFonts w:hint="eastAsia" w:ascii="宋体" w:hAnsi="宋体" w:eastAsia="宋体" w:cs="宋体"/>
      <w:color w:val="000000"/>
      <w:sz w:val="21"/>
      <w:szCs w:val="21"/>
      <w:u w:val="none"/>
    </w:rPr>
  </w:style>
  <w:style w:type="character" w:customStyle="1" w:styleId="23">
    <w:name w:val="NormalCharacter"/>
    <w:qFormat/>
    <w:uiPriority w:val="0"/>
  </w:style>
  <w:style w:type="paragraph" w:customStyle="1" w:styleId="24">
    <w:name w:val="BodyText"/>
    <w:basedOn w:val="1"/>
    <w:link w:val="25"/>
    <w:qFormat/>
    <w:uiPriority w:val="0"/>
    <w:pPr>
      <w:widowControl/>
      <w:spacing w:after="120"/>
      <w:textAlignment w:val="baseline"/>
    </w:pPr>
  </w:style>
  <w:style w:type="character" w:customStyle="1" w:styleId="25">
    <w:name w:val="UserStyle_0"/>
    <w:link w:val="24"/>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3A0D-C1C2-4B7A-B27C-8B98F5186D1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383</Words>
  <Characters>2184</Characters>
  <Lines>18</Lines>
  <Paragraphs>5</Paragraphs>
  <TotalTime>19</TotalTime>
  <ScaleCrop>false</ScaleCrop>
  <LinksUpToDate>false</LinksUpToDate>
  <CharactersWithSpaces>2562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2019-04-09T07:18:00Z</dcterms:created>
  <dc:creator>shi</dc:creator>
  <cp:lastModifiedBy>admin</cp:lastModifiedBy>
  <cp:lastPrinted>2023-11-29T02:26:54Z</cp:lastPrinted>
  <dcterms:modified xsi:type="dcterms:W3CDTF">2023-11-29T02:28:59Z</dcterms:modified>
  <dc:title>廊坊燕京职业技术学院课堂文化建设方案</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E90D1B37D9E64737BF2C2920E00BEC4D</vt:lpwstr>
  </property>
</Properties>
</file>