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color w:val="000000" w:themeColor="text1"/>
          <w:w w:val="80"/>
          <w:sz w:val="110"/>
          <w:szCs w:val="110"/>
          <w:lang w:val="en-US" w:eastAsia="zh-CN"/>
          <w14:textFill>
            <w14:solidFill>
              <w14:schemeClr w14:val="tx1"/>
            </w14:solidFill>
          </w14:textFill>
        </w:rPr>
      </w:pPr>
      <w:r>
        <w:rPr>
          <w:rFonts w:hint="eastAsia" w:ascii="仿宋_GB2312" w:eastAsia="仿宋_GB2312"/>
          <w:b/>
          <w:color w:val="000000" w:themeColor="text1"/>
          <w:w w:val="80"/>
          <w:sz w:val="110"/>
          <w:szCs w:val="110"/>
          <w:lang w:val="en-US" w:eastAsia="zh-CN"/>
          <w14:textFill>
            <w14:solidFill>
              <w14:schemeClr w14:val="tx1"/>
            </w14:solidFill>
          </w14:textFill>
        </w:rPr>
        <w:t xml:space="preserve"> </w:t>
      </w:r>
      <w:bookmarkStart w:id="0" w:name="_GoBack"/>
      <w:bookmarkEnd w:id="0"/>
    </w:p>
    <w:p>
      <w:pPr>
        <w:jc w:val="center"/>
        <w:rPr>
          <w:rFonts w:hint="eastAsia" w:ascii="宋体" w:hAnsi="宋体"/>
          <w:b/>
          <w:color w:val="000000" w:themeColor="text1"/>
          <w:w w:val="80"/>
          <w:sz w:val="110"/>
          <w:szCs w:val="110"/>
          <w14:textFill>
            <w14:solidFill>
              <w14:schemeClr w14:val="tx1"/>
            </w14:solidFill>
          </w14:textFill>
        </w:rPr>
      </w:pPr>
    </w:p>
    <w:p>
      <w:pPr>
        <w:wordWrap w:val="0"/>
        <w:jc w:val="righ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      </w:t>
      </w:r>
    </w:p>
    <w:p>
      <w:pPr>
        <w:ind w:left="6120" w:right="450" w:hanging="6120" w:hangingChars="340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                                                      </w:t>
      </w:r>
    </w:p>
    <w:p>
      <w:pPr>
        <w:ind w:left="6120" w:right="450" w:hanging="6120" w:hangingChars="340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   </w:t>
      </w:r>
    </w:p>
    <w:p>
      <w:pPr>
        <w:ind w:firstLine="480" w:firstLineChars="150"/>
        <w:jc w:val="center"/>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廊燕院字〔</w:t>
      </w:r>
      <w:r>
        <w:rPr>
          <w:rFonts w:hint="eastAsia" w:ascii="仿宋" w:hAnsi="仿宋" w:eastAsia="仿宋"/>
          <w:color w:val="000000" w:themeColor="text1"/>
          <w:sz w:val="32"/>
          <w:szCs w:val="32"/>
          <w:lang w:val="en-US" w:eastAsia="zh-CN"/>
          <w14:textFill>
            <w14:solidFill>
              <w14:schemeClr w14:val="tx1"/>
            </w14:solidFill>
          </w14:textFill>
        </w:rPr>
        <w:t>2020</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17</w:t>
      </w:r>
      <w:r>
        <w:rPr>
          <w:rFonts w:hint="eastAsia" w:ascii="仿宋" w:hAnsi="仿宋" w:eastAsia="仿宋"/>
          <w:color w:val="000000" w:themeColor="text1"/>
          <w:sz w:val="32"/>
          <w:szCs w:val="32"/>
          <w14:textFill>
            <w14:solidFill>
              <w14:schemeClr w14:val="tx1"/>
            </w14:solidFill>
          </w14:textFill>
        </w:rPr>
        <w:t>号</w:t>
      </w:r>
    </w:p>
    <w:p>
      <w:pPr>
        <w:jc w:val="both"/>
        <w:rPr>
          <w:rFonts w:hint="eastAsia" w:ascii="宋体" w:hAnsi="宋体"/>
          <w:color w:val="000000" w:themeColor="text1"/>
          <w:sz w:val="18"/>
          <w:szCs w:val="18"/>
          <w14:textFill>
            <w14:solidFill>
              <w14:schemeClr w14:val="tx1"/>
            </w14:solidFill>
          </w14:textFill>
        </w:rPr>
      </w:pPr>
    </w:p>
    <w:p>
      <w:pPr>
        <w:pStyle w:val="4"/>
        <w:keepNext w:val="0"/>
        <w:keepLines w:val="0"/>
        <w:pageBreakBefore w:val="0"/>
        <w:widowControl/>
        <w:kinsoku/>
        <w:wordWrap/>
        <w:overflowPunct/>
        <w:topLinePunct w:val="0"/>
        <w:autoSpaceDE/>
        <w:autoSpaceDN/>
        <w:bidi w:val="0"/>
        <w:adjustRightInd/>
        <w:snapToGrid/>
        <w:spacing w:before="157" w:beforeLines="50" w:beforeAutospacing="0" w:after="0" w:afterAutospacing="0" w:line="600" w:lineRule="exact"/>
        <w:jc w:val="center"/>
        <w:textAlignment w:val="auto"/>
        <w:rPr>
          <w:rFonts w:hint="eastAsia" w:ascii="仿宋_GB2312" w:eastAsia="仿宋_GB2312"/>
          <w:sz w:val="44"/>
          <w:szCs w:val="44"/>
          <w:lang w:eastAsia="zh-CN"/>
        </w:rPr>
      </w:pPr>
      <w:r>
        <w:rPr>
          <w:rFonts w:hint="eastAsia" w:ascii="方正小标宋简体" w:eastAsia="方正小标宋简体" w:cstheme="minorBidi"/>
          <w:snapToGrid w:val="0"/>
          <w:spacing w:val="6"/>
          <w:kern w:val="0"/>
          <w:sz w:val="44"/>
          <w:szCs w:val="44"/>
          <w:lang w:val="en-US" w:eastAsia="zh-CN" w:bidi="ar"/>
        </w:rPr>
        <w:t>关于印发《</w:t>
      </w:r>
      <w:r>
        <w:rPr>
          <w:rFonts w:hint="eastAsia" w:ascii="方正小标宋简体" w:hAnsi="宋体" w:eastAsia="方正小标宋简体" w:cstheme="minorBidi"/>
          <w:snapToGrid w:val="0"/>
          <w:spacing w:val="6"/>
          <w:kern w:val="0"/>
          <w:sz w:val="44"/>
          <w:szCs w:val="44"/>
          <w:lang w:val="en-US" w:eastAsia="zh-CN" w:bidi="ar"/>
        </w:rPr>
        <w:t>中共廊坊燕京职业技术学院委员会“三重一大”决策制度实施办法</w:t>
      </w:r>
      <w:r>
        <w:rPr>
          <w:rFonts w:hint="eastAsia" w:ascii="方正小标宋简体" w:eastAsia="方正小标宋简体" w:cstheme="minorBidi"/>
          <w:snapToGrid w:val="0"/>
          <w:spacing w:val="6"/>
          <w:kern w:val="0"/>
          <w:sz w:val="44"/>
          <w:szCs w:val="44"/>
          <w:lang w:val="en-US" w:eastAsia="zh-CN" w:bidi="ar"/>
        </w:rPr>
        <w:t>》的通  知</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仿宋_GB2312" w:eastAsia="仿宋_GB2312"/>
          <w:sz w:val="32"/>
          <w:szCs w:val="32"/>
          <w:lang w:eastAsia="zh-CN"/>
        </w:rPr>
      </w:pP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学院各处室、各系部：</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《中共廊坊燕京职业技术学院委员会“三重一大”决策制度实施办法》已经学院领导集体研究通过，现印发给你们，请在工作中认真贯彻落实。</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仿宋" w:hAnsi="仿宋" w:eastAsia="仿宋" w:cs="仿宋"/>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after="0" w:line="360" w:lineRule="auto"/>
        <w:ind w:firstLine="3200" w:firstLineChars="10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中共廊坊燕京职业技术学院委员会</w:t>
      </w:r>
    </w:p>
    <w:p>
      <w:pPr>
        <w:keepNext w:val="0"/>
        <w:keepLines w:val="0"/>
        <w:pageBreakBefore w:val="0"/>
        <w:widowControl/>
        <w:kinsoku/>
        <w:wordWrap/>
        <w:overflowPunct/>
        <w:topLinePunct w:val="0"/>
        <w:autoSpaceDE/>
        <w:autoSpaceDN/>
        <w:bidi w:val="0"/>
        <w:adjustRightInd/>
        <w:snapToGrid/>
        <w:spacing w:after="0" w:line="360" w:lineRule="auto"/>
        <w:ind w:firstLine="4480" w:firstLineChars="14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2020年11月12日</w:t>
      </w:r>
    </w:p>
    <w:p>
      <w:pPr>
        <w:rPr>
          <w:rFonts w:hint="eastAsia" w:ascii="楷体" w:hAnsi="楷体" w:eastAsia="楷体" w:cs="楷体"/>
          <w:b w:val="0"/>
          <w:bCs w:val="0"/>
          <w:color w:val="000000"/>
          <w:sz w:val="32"/>
          <w:szCs w:val="32"/>
          <w:highlight w:val="none"/>
          <w:shd w:val="clear" w:color="auto" w:fill="FFFFFF"/>
        </w:rPr>
      </w:pPr>
      <w:r>
        <w:rPr>
          <w:rFonts w:hint="eastAsia" w:ascii="楷体" w:hAnsi="楷体" w:eastAsia="楷体" w:cs="楷体"/>
          <w:b w:val="0"/>
          <w:bCs w:val="0"/>
          <w:color w:val="000000"/>
          <w:sz w:val="32"/>
          <w:szCs w:val="32"/>
          <w:highlight w:val="none"/>
          <w:shd w:val="clear" w:color="auto" w:fill="FFFFFF"/>
        </w:rPr>
        <w:br w:type="page"/>
      </w:r>
    </w:p>
    <w:p>
      <w:pPr>
        <w:pStyle w:val="4"/>
        <w:spacing w:before="0" w:beforeAutospacing="0" w:after="0" w:afterAutospacing="0" w:line="360" w:lineRule="auto"/>
        <w:jc w:val="center"/>
        <w:rPr>
          <w:rFonts w:hint="eastAsia" w:ascii="方正小标宋简体" w:hAnsi="宋体" w:eastAsia="方正小标宋简体" w:cstheme="minorBidi"/>
          <w:snapToGrid w:val="0"/>
          <w:spacing w:val="6"/>
          <w:kern w:val="0"/>
          <w:sz w:val="44"/>
          <w:szCs w:val="24"/>
          <w:lang w:val="en-US" w:eastAsia="zh-CN" w:bidi="ar"/>
        </w:rPr>
      </w:pPr>
      <w:r>
        <w:rPr>
          <w:rFonts w:hint="eastAsia" w:ascii="方正小标宋简体" w:hAnsi="宋体" w:eastAsia="方正小标宋简体" w:cstheme="minorBidi"/>
          <w:snapToGrid w:val="0"/>
          <w:spacing w:val="6"/>
          <w:kern w:val="0"/>
          <w:sz w:val="44"/>
          <w:szCs w:val="24"/>
          <w:lang w:val="en-US" w:eastAsia="zh-CN" w:bidi="ar"/>
        </w:rPr>
        <w:t>中共廊坊燕京职业技术学院委员会</w:t>
      </w:r>
    </w:p>
    <w:p>
      <w:pPr>
        <w:pStyle w:val="4"/>
        <w:spacing w:before="0" w:beforeAutospacing="0" w:after="0" w:afterAutospacing="0" w:line="360" w:lineRule="auto"/>
        <w:jc w:val="center"/>
        <w:rPr>
          <w:rFonts w:hint="eastAsia" w:ascii="楷体" w:hAnsi="楷体" w:eastAsia="楷体" w:cs="楷体"/>
          <w:b w:val="0"/>
          <w:bCs w:val="0"/>
          <w:color w:val="000000"/>
          <w:sz w:val="32"/>
          <w:szCs w:val="32"/>
          <w:highlight w:val="none"/>
          <w:shd w:val="clear" w:color="auto" w:fill="FFFFFF"/>
        </w:rPr>
      </w:pPr>
      <w:r>
        <w:rPr>
          <w:rFonts w:hint="eastAsia" w:ascii="方正小标宋简体" w:hAnsi="宋体" w:eastAsia="方正小标宋简体" w:cstheme="minorBidi"/>
          <w:snapToGrid w:val="0"/>
          <w:spacing w:val="6"/>
          <w:kern w:val="0"/>
          <w:sz w:val="44"/>
          <w:szCs w:val="24"/>
          <w:lang w:val="en-US" w:eastAsia="zh-CN" w:bidi="ar"/>
        </w:rPr>
        <w:t>“三重一大”决策制度实施办法</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楷体" w:hAnsi="楷体" w:eastAsia="楷体" w:cs="楷体"/>
          <w:b w:val="0"/>
          <w:bCs w:val="0"/>
          <w:sz w:val="32"/>
          <w:szCs w:val="32"/>
          <w:highlight w:val="none"/>
        </w:rPr>
      </w:pPr>
      <w:r>
        <w:rPr>
          <w:rFonts w:hint="eastAsia" w:ascii="楷体" w:hAnsi="楷体" w:eastAsia="楷体" w:cs="楷体"/>
          <w:b w:val="0"/>
          <w:bCs w:val="0"/>
          <w:color w:val="000000"/>
          <w:sz w:val="32"/>
          <w:szCs w:val="32"/>
          <w:highlight w:val="none"/>
          <w:shd w:val="clear" w:color="auto" w:fill="FFFFFF"/>
        </w:rPr>
        <w:t>第一章</w:t>
      </w:r>
      <w:r>
        <w:rPr>
          <w:rFonts w:hint="eastAsia" w:ascii="楷体" w:hAnsi="楷体" w:eastAsia="楷体" w:cs="楷体"/>
          <w:b w:val="0"/>
          <w:bCs w:val="0"/>
          <w:color w:val="000000"/>
          <w:sz w:val="32"/>
          <w:szCs w:val="32"/>
          <w:highlight w:val="none"/>
          <w:shd w:val="clear" w:color="auto" w:fill="FFFFFF"/>
          <w:lang w:val="en-US" w:eastAsia="zh-CN"/>
        </w:rPr>
        <w:t xml:space="preserve">  </w:t>
      </w:r>
      <w:r>
        <w:rPr>
          <w:rFonts w:hint="eastAsia" w:ascii="楷体" w:hAnsi="楷体" w:eastAsia="楷体" w:cs="楷体"/>
          <w:b w:val="0"/>
          <w:bCs w:val="0"/>
          <w:color w:val="000000"/>
          <w:sz w:val="32"/>
          <w:szCs w:val="32"/>
          <w:highlight w:val="none"/>
          <w:shd w:val="clear" w:color="auto" w:fill="FFFFFF"/>
        </w:rPr>
        <w:t>总则</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第一条  为贯彻落实中共中央关于凡属重大决策、重要人事任免、重大项目安排和大额度资金使用（以下简称“三重一大”）事项必须由领导班子集体研究决定的要求，坚持科学决策、民主决策、依法决策，根据《中华人民共和国高等教育法》《关于坚持和完善普通高等学校党委领导下的校长负责制的实施意见》等文件精神，结合学院实际，制定本办法。</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第二条  “三重一大”事项实行集体决策，决策主体为党委会、院长办公会。</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楷体" w:hAnsi="楷体" w:eastAsia="楷体" w:cs="楷体"/>
          <w:b w:val="0"/>
          <w:bCs w:val="0"/>
          <w:color w:val="000000"/>
          <w:sz w:val="32"/>
          <w:szCs w:val="32"/>
          <w:highlight w:val="none"/>
          <w:shd w:val="clear" w:color="auto" w:fill="FFFFFF"/>
          <w:lang w:val="en-US" w:eastAsia="zh-CN"/>
        </w:rPr>
      </w:pPr>
      <w:r>
        <w:rPr>
          <w:rFonts w:hint="eastAsia" w:ascii="楷体" w:hAnsi="楷体" w:eastAsia="楷体" w:cs="楷体"/>
          <w:b w:val="0"/>
          <w:bCs w:val="0"/>
          <w:color w:val="000000"/>
          <w:sz w:val="32"/>
          <w:szCs w:val="32"/>
          <w:highlight w:val="none"/>
          <w:shd w:val="clear" w:color="auto" w:fill="FFFFFF"/>
          <w:lang w:val="en-US" w:eastAsia="zh-CN"/>
        </w:rPr>
        <w:t>第二章  决策内容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第三条  重大决策事项，是指事关学院改革发展稳定全局和广大师生员工切身利益，依据有关规定应当由领导班子集体研究决定的重要事项。主要包括：</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（一）贯彻执行党和国家的路线方针政策、法律法规和上级重要决定的重大措施；</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（二）党的建设、党的纪律检查工作、党风廉政建设、巡察工作、思想政治和意识形态等重要工作；</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（三）学院办学思路、办学理念、办学规模、招生就业工作政策重大调整；</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（四）学院发展规划、学院建设规划、专业与人才队伍建设规划、年度工作要点；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（五）学院章程、基本制度、涉及学院改革发展稳定全局的重大改革方案和措施；</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（六）学院内组织机构的设置和调整；</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firstLineChars="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（七）学院年度人才引进计划、人员招聘方案的制定；</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firstLineChars="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（八）院级及以上重大表彰；</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firstLineChars="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（九）教职工收入分配及福利待遇、奖励和关系学生权益的重要事项；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（十）学院年度财务预算方案、预算执行情况、重大专项审计；</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1" w:firstLineChars="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（十一）学院重要资产处置、重要办学资源配置；</w:t>
      </w:r>
    </w:p>
    <w:p>
      <w:pPr>
        <w:pStyle w:val="4"/>
        <w:keepNext w:val="0"/>
        <w:keepLines w:val="0"/>
        <w:pageBreakBefore w:val="0"/>
        <w:kinsoku/>
        <w:wordWrap/>
        <w:overflowPunct/>
        <w:topLinePunct w:val="0"/>
        <w:autoSpaceDE/>
        <w:autoSpaceDN/>
        <w:bidi w:val="0"/>
        <w:adjustRightInd/>
        <w:snapToGrid/>
        <w:spacing w:beforeAutospacing="0" w:afterAutospacing="0" w:line="600" w:lineRule="exact"/>
        <w:ind w:firstLine="641"/>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（十二）学院重大安全事故、重大突发事件的处置；</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（十三）其他重大决策事项。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第四条  重要人事任免事项，是指学院科级以上干部的任免和需要报送上级机关审批的重要人事事项等。主要包括：</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（一）干部的任免、党政纪处分；</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（二）各级党代会代表、人大代表、政协委员人选的推荐以及党派组织、人民团体负责人的推荐安排；</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（三）其他重要人事任免事项。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第五条  重大经济项目安排事项，是指对学院规模条件、办学质量等产生重要影响的项目设立和安排。主要包括：</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（一）国家和省部级重点建设项目；</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（二）国内国（境）外科学技术文化交流与合作重要项目，重大合资合作项目（含合作办学、重大科技成果转化）以及对外投资项目；</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（三）重要设备、大宗物资采购和购买服务；</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（四）重大基本建设和大额度基建修缮项目；</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（五）土地、房屋以及大型贵重设备器材等资产的处置；</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1"/>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（六）其他重大项目安排事项。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第六条  大额度资金使用事项，是指超过学院所规定的党政领导人员有权调动、使用的资金限额的资金调动和使用事项。主要包括：</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（一）10万元以上预算制定、调整；</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（二）10万元以上预算内结余资金的使用；</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（三）其他大额度资金（10万元以上）使用事项。</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大额资金管理实行“分级授权、逐级审批”制度，具体分级审批权限如下:</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1.10万元以下社会捐赠，金额为10万（含10万）～20万的大额度资金调动、使用和运作的具体安排须按照学院《院长办公会议事规则》提交院长办公会批准执行。</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2.10万元及以上重大捐赠，20万元及以上的大额度支出，20万元及以上其他大额度资金运作事项，20万元及以上的重要设备和大宗物资采购或购买服务须按照学院《党委会议事规则》提交党委会批准执行。</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3.对于预算落实、审批手续齐全、单据齐全的大额资金支付申请，财务处接受单据后要提交财务处负责人审核后方可办理支付手续。</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4.应交财政专户款的上缴不属于大额资金审批范围。</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楷体" w:hAnsi="楷体" w:eastAsia="楷体" w:cs="楷体"/>
          <w:b w:val="0"/>
          <w:bCs w:val="0"/>
          <w:color w:val="000000"/>
          <w:sz w:val="32"/>
          <w:szCs w:val="32"/>
          <w:highlight w:val="none"/>
          <w:shd w:val="clear" w:color="auto" w:fill="FFFFFF"/>
          <w:lang w:val="en-US" w:eastAsia="zh-CN"/>
        </w:rPr>
      </w:pPr>
      <w:r>
        <w:rPr>
          <w:rFonts w:hint="eastAsia" w:ascii="楷体" w:hAnsi="楷体" w:eastAsia="楷体" w:cs="楷体"/>
          <w:b w:val="0"/>
          <w:bCs w:val="0"/>
          <w:color w:val="000000"/>
          <w:sz w:val="32"/>
          <w:szCs w:val="32"/>
          <w:highlight w:val="none"/>
          <w:shd w:val="clear" w:color="auto" w:fill="FFFFFF"/>
          <w:lang w:val="en-US" w:eastAsia="zh-CN"/>
        </w:rPr>
        <w:t>第三章  决策程序</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第七条  “三重一大”事项决策程序，应严格执行民主集中制原则，依照《院长办公会议事规则》和《党委会会议议事规则》进行。</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第八条  “三重一大”事项提交集体决策前，须进行深入细致地研究论证，广泛听取并充分吸收各方面的意见。提任科级以上干部或转任重要岗位处级干部，应书面征求学院纪委的意见；与师生员工切身利益密切相关的事项，要通过多种方式听取师生员工意见建议；专业技术性较强的重要事项，应事先进行专家论证，提交论证报告。</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第九条  “三重一大”事项应以会议的形式集体研究决策，不得以传阅会签或个别征求意见等方式代替。紧急情况下由个人或少数人临时决定的，决定人应对决策负责，事后应及时报告并按程序予以追认。如遇特殊情况需对决策内容做重大调整，应当重新按规定履行决策程序。</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第十条  会议决策“三重一大”事项，应符合与会人数规定。讨论决定学院干部任免事项，以超过应到会人数的三分之二同意形成决定。根据会议议题内容，学院纪委及其他有关职能部门负责人和党代会、教代会代表等可按规定列席有关会议。</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第十一条  “三重一大”事项决策的会议记录要做到“五明确”，即具体事项明确、具体范围明确、决策形式明确、决策程序明确、检查考核人和责任追究明确，并存档备查。</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楷体" w:hAnsi="楷体" w:eastAsia="楷体" w:cs="楷体"/>
          <w:b w:val="0"/>
          <w:bCs w:val="0"/>
          <w:color w:val="000000"/>
          <w:sz w:val="32"/>
          <w:szCs w:val="32"/>
          <w:highlight w:val="none"/>
          <w:shd w:val="clear" w:color="auto" w:fill="FFFFFF"/>
          <w:lang w:val="en-US" w:eastAsia="zh-CN"/>
        </w:rPr>
      </w:pPr>
      <w:r>
        <w:rPr>
          <w:rFonts w:hint="eastAsia" w:ascii="楷体" w:hAnsi="楷体" w:eastAsia="楷体" w:cs="楷体"/>
          <w:b w:val="0"/>
          <w:bCs w:val="0"/>
          <w:color w:val="000000"/>
          <w:sz w:val="32"/>
          <w:szCs w:val="32"/>
          <w:highlight w:val="none"/>
          <w:shd w:val="clear" w:color="auto" w:fill="FFFFFF"/>
          <w:lang w:val="en-US" w:eastAsia="zh-CN"/>
        </w:rPr>
        <w:t>第四章  决策实施与监督</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第十二条  学院党委会决定的事项，由领导班子成员按照职责分工组织实施；学院党政办公室负责催办和督办，并将落实情况及时向学院党委书记报告。</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第十三条  全体教职工有权监督“三重一大”事项集体决策制度的贯彻落实情况，按相关规定反映意见。</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第十四条  纪检、组织人事、财务等部门根据职责权限，对决策执行情况进行监督检查，发现问题要及时报告，并提出纠正建议。</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第十五条  “三重一大”决策制度的执行情况应作为全面从严治党责任制考核的重要内容，作为领导班子成员民主生活会、述职述廉的重要内容和经济责任审计的重点事项；按照《高等学院信息公开办法》及学院党务公开、院务公开相关规定，除依法应保密的事项外，应在适当范围内公开。</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楷体" w:hAnsi="楷体" w:eastAsia="楷体" w:cs="楷体"/>
          <w:b w:val="0"/>
          <w:bCs w:val="0"/>
          <w:color w:val="000000"/>
          <w:sz w:val="32"/>
          <w:szCs w:val="32"/>
          <w:highlight w:val="none"/>
          <w:shd w:val="clear" w:color="auto" w:fill="FFFFFF"/>
          <w:lang w:val="en-US" w:eastAsia="zh-CN"/>
        </w:rPr>
      </w:pPr>
      <w:r>
        <w:rPr>
          <w:rFonts w:hint="eastAsia" w:ascii="楷体" w:hAnsi="楷体" w:eastAsia="楷体" w:cs="楷体"/>
          <w:b w:val="0"/>
          <w:bCs w:val="0"/>
          <w:color w:val="000000"/>
          <w:sz w:val="32"/>
          <w:szCs w:val="32"/>
          <w:highlight w:val="none"/>
          <w:shd w:val="clear" w:color="auto" w:fill="FFFFFF"/>
          <w:lang w:val="en-US" w:eastAsia="zh-CN"/>
        </w:rPr>
        <w:t>第五章  责任追究</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第十六条  凡属下列情况，按照有关规定追究责任，给国家、学院造成重大经济损失或严重政治影响，涉嫌犯罪的，移交有关部门依法处理。</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（一）不履行或不正确履行“三重一大”制度决策程序，不执行或擅自改变集体决定的；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（二）未经集体讨论决定而个人决策的；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（三）未向领导集体提供全面真实情况而造成决策失误的；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（四）执行决策后发现可能造成失误或损失，能够挽回而不积极采取措施纠正的；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（五）其它因违反本办法而造成失误应当追究责任的。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第十七条  责任追究主要依据本人职责范围，明确集体责任、个人责任，明确直接责任、主要领导责任、重要领导责任。</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楷体" w:hAnsi="楷体" w:eastAsia="楷体" w:cs="楷体"/>
          <w:b w:val="0"/>
          <w:bCs w:val="0"/>
          <w:color w:val="000000"/>
          <w:sz w:val="32"/>
          <w:szCs w:val="32"/>
          <w:highlight w:val="none"/>
          <w:shd w:val="clear" w:color="auto" w:fill="FFFFFF"/>
          <w:lang w:val="en-US" w:eastAsia="zh-CN"/>
        </w:rPr>
      </w:pPr>
      <w:r>
        <w:rPr>
          <w:rFonts w:hint="eastAsia" w:ascii="楷体" w:hAnsi="楷体" w:eastAsia="楷体" w:cs="楷体"/>
          <w:b w:val="0"/>
          <w:bCs w:val="0"/>
          <w:color w:val="000000"/>
          <w:sz w:val="32"/>
          <w:szCs w:val="32"/>
          <w:highlight w:val="none"/>
          <w:shd w:val="clear" w:color="auto" w:fill="FFFFFF"/>
          <w:lang w:val="en-US" w:eastAsia="zh-CN"/>
        </w:rPr>
        <w:t>第六章  附则</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第十八条  本办法自印发之日起施行。</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第十九条  本办法由学院党委负责解释，具体工作由党政办公室承担。</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仿宋" w:hAnsi="仿宋" w:eastAsia="仿宋" w:cs="仿宋"/>
          <w:kern w:val="0"/>
          <w:sz w:val="32"/>
          <w:szCs w:val="32"/>
          <w:lang w:val="en-US" w:eastAsia="zh-CN" w:bidi="ar"/>
        </w:rPr>
      </w:pPr>
    </w:p>
    <w:p>
      <w:pPr>
        <w:pBdr>
          <w:top w:val="single" w:color="auto" w:sz="6" w:space="1"/>
          <w:bottom w:val="single" w:color="auto" w:sz="6" w:space="1"/>
        </w:pBdr>
        <w:ind w:firstLine="140" w:firstLineChars="50"/>
        <w:rPr>
          <w:rFonts w:hint="eastAsia" w:ascii="仿宋" w:hAnsi="仿宋" w:eastAsia="仿宋" w:cs="仿宋"/>
          <w:kern w:val="0"/>
          <w:sz w:val="32"/>
          <w:szCs w:val="32"/>
          <w:lang w:val="en-US" w:eastAsia="zh-CN" w:bidi="ar"/>
        </w:rPr>
      </w:pPr>
      <w:r>
        <w:rPr>
          <w:rFonts w:hint="eastAsia" w:ascii="仿宋" w:hAnsi="仿宋" w:eastAsia="仿宋"/>
          <w:sz w:val="28"/>
          <w:szCs w:val="28"/>
        </w:rPr>
        <w:t xml:space="preserve">廊坊燕京职业技术学院党政办公室        </w:t>
      </w:r>
      <w:r>
        <w:rPr>
          <w:rFonts w:hint="eastAsia" w:ascii="仿宋" w:hAnsi="仿宋" w:eastAsia="仿宋"/>
          <w:sz w:val="28"/>
          <w:szCs w:val="28"/>
          <w:lang w:val="en-US" w:eastAsia="zh-CN"/>
        </w:rPr>
        <w:t>2020</w:t>
      </w:r>
      <w:r>
        <w:rPr>
          <w:rFonts w:hint="eastAsia" w:ascii="仿宋" w:hAnsi="仿宋" w:eastAsia="仿宋"/>
          <w:sz w:val="28"/>
          <w:szCs w:val="28"/>
        </w:rPr>
        <w:t>年</w:t>
      </w:r>
      <w:r>
        <w:rPr>
          <w:rFonts w:hint="eastAsia" w:ascii="仿宋" w:hAnsi="仿宋" w:eastAsia="仿宋"/>
          <w:sz w:val="28"/>
          <w:szCs w:val="28"/>
          <w:lang w:val="en-US" w:eastAsia="zh-CN"/>
        </w:rPr>
        <w:t>11</w:t>
      </w:r>
      <w:r>
        <w:rPr>
          <w:rFonts w:hint="eastAsia" w:ascii="仿宋" w:hAnsi="仿宋" w:eastAsia="仿宋"/>
          <w:sz w:val="28"/>
          <w:szCs w:val="28"/>
        </w:rPr>
        <w:t>月</w:t>
      </w:r>
      <w:r>
        <w:rPr>
          <w:rFonts w:hint="eastAsia" w:ascii="仿宋" w:hAnsi="仿宋" w:eastAsia="仿宋"/>
          <w:sz w:val="28"/>
          <w:szCs w:val="28"/>
          <w:lang w:val="en-US" w:eastAsia="zh-CN"/>
        </w:rPr>
        <w:t>12</w:t>
      </w:r>
      <w:r>
        <w:rPr>
          <w:rFonts w:hint="eastAsia" w:ascii="仿宋" w:hAnsi="仿宋" w:eastAsia="仿宋"/>
          <w:sz w:val="28"/>
          <w:szCs w:val="28"/>
        </w:rPr>
        <w:t>日印发</w:t>
      </w:r>
      <w:r>
        <w:rPr>
          <w:rFonts w:hint="eastAsia" w:ascii="仿宋" w:hAnsi="仿宋" w:eastAsia="仿宋"/>
          <w:sz w:val="28"/>
          <w:szCs w:val="28"/>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2A25A4"/>
    <w:rsid w:val="01EC036C"/>
    <w:rsid w:val="02F6092B"/>
    <w:rsid w:val="05384E0E"/>
    <w:rsid w:val="058606AE"/>
    <w:rsid w:val="05D77A3A"/>
    <w:rsid w:val="06357E1E"/>
    <w:rsid w:val="06D260DB"/>
    <w:rsid w:val="0A0539B6"/>
    <w:rsid w:val="0CA51242"/>
    <w:rsid w:val="0D494151"/>
    <w:rsid w:val="0E150A35"/>
    <w:rsid w:val="0EDA659A"/>
    <w:rsid w:val="12A13361"/>
    <w:rsid w:val="12DB049D"/>
    <w:rsid w:val="181B62B7"/>
    <w:rsid w:val="184F60CE"/>
    <w:rsid w:val="19E47DEA"/>
    <w:rsid w:val="1AA55F31"/>
    <w:rsid w:val="1AB31356"/>
    <w:rsid w:val="1E7230FE"/>
    <w:rsid w:val="1EA8799E"/>
    <w:rsid w:val="1F8B3E44"/>
    <w:rsid w:val="20EA2EB3"/>
    <w:rsid w:val="20EB3064"/>
    <w:rsid w:val="22040CBA"/>
    <w:rsid w:val="23614FAD"/>
    <w:rsid w:val="24DB03B0"/>
    <w:rsid w:val="258C53D0"/>
    <w:rsid w:val="26D8352A"/>
    <w:rsid w:val="293D5C49"/>
    <w:rsid w:val="2A4A6437"/>
    <w:rsid w:val="2B007EDE"/>
    <w:rsid w:val="2DB37EF2"/>
    <w:rsid w:val="2FCD7602"/>
    <w:rsid w:val="30162AA5"/>
    <w:rsid w:val="327A7FB1"/>
    <w:rsid w:val="32AA4509"/>
    <w:rsid w:val="336D129A"/>
    <w:rsid w:val="33CF76FA"/>
    <w:rsid w:val="348C308C"/>
    <w:rsid w:val="348E446B"/>
    <w:rsid w:val="36D524B9"/>
    <w:rsid w:val="394F4DB3"/>
    <w:rsid w:val="39FB3F94"/>
    <w:rsid w:val="3B902D11"/>
    <w:rsid w:val="3D670AE2"/>
    <w:rsid w:val="401A6913"/>
    <w:rsid w:val="404236DD"/>
    <w:rsid w:val="40E63A6E"/>
    <w:rsid w:val="42B63F56"/>
    <w:rsid w:val="42E30375"/>
    <w:rsid w:val="45F45E03"/>
    <w:rsid w:val="466E3AB2"/>
    <w:rsid w:val="472408A1"/>
    <w:rsid w:val="47A02B2A"/>
    <w:rsid w:val="48E43114"/>
    <w:rsid w:val="4DDE0FAB"/>
    <w:rsid w:val="503D2937"/>
    <w:rsid w:val="52A670D8"/>
    <w:rsid w:val="54F06124"/>
    <w:rsid w:val="574F7973"/>
    <w:rsid w:val="57753A50"/>
    <w:rsid w:val="57D706E1"/>
    <w:rsid w:val="58897368"/>
    <w:rsid w:val="589F2BE2"/>
    <w:rsid w:val="58B134CD"/>
    <w:rsid w:val="596D23A3"/>
    <w:rsid w:val="5A5E0965"/>
    <w:rsid w:val="5CA77DBC"/>
    <w:rsid w:val="5CDD4E10"/>
    <w:rsid w:val="63EE6F00"/>
    <w:rsid w:val="643A56CA"/>
    <w:rsid w:val="654D3FCD"/>
    <w:rsid w:val="65F52240"/>
    <w:rsid w:val="67341875"/>
    <w:rsid w:val="67D11280"/>
    <w:rsid w:val="69C733AA"/>
    <w:rsid w:val="6CAB4F95"/>
    <w:rsid w:val="6E2A25A4"/>
    <w:rsid w:val="6EE961BD"/>
    <w:rsid w:val="74AC327C"/>
    <w:rsid w:val="773533A3"/>
    <w:rsid w:val="774636DE"/>
    <w:rsid w:val="7A9F4E7E"/>
    <w:rsid w:val="7AE14B87"/>
    <w:rsid w:val="7C0D1A9B"/>
    <w:rsid w:val="7CEC20D3"/>
    <w:rsid w:val="7EB7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2020-10-19T07:22:00Z</dcterms:created>
  <dc:creator>旋子</dc:creator>
  <cp:lastModifiedBy>admin</cp:lastModifiedBy>
  <cp:lastPrinted>2021-09-27T09:20:26Z</cp:lastPrinted>
  <dcterms:modified xsi:type="dcterms:W3CDTF">2021-09-27T09:29:38Z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